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
    <w:p>
      <w:pPr>
        <w:jc w:val="center"/>
        <w:rPr>
          <w:rFonts w:eastAsia="黑体"/>
          <w:b/>
          <w:bCs/>
          <w:sz w:val="44"/>
          <w:szCs w:val="18"/>
        </w:rPr>
      </w:pPr>
      <w:r>
        <w:rPr>
          <w:rFonts w:hint="eastAsia" w:eastAsia="仿宋"/>
          <w:b/>
          <w:bCs/>
          <w:sz w:val="36"/>
          <w:szCs w:val="36"/>
          <w:u w:val="thick"/>
        </w:rPr>
        <w:t>电子信息科学与技术</w:t>
      </w:r>
      <w:r>
        <w:rPr>
          <w:rFonts w:hAnsi="黑体" w:eastAsia="黑体"/>
          <w:b/>
          <w:bCs/>
          <w:sz w:val="44"/>
          <w:szCs w:val="18"/>
        </w:rPr>
        <w:t>专业本科人才培养方案</w:t>
      </w:r>
    </w:p>
    <w:p>
      <w:pPr>
        <w:jc w:val="center"/>
        <w:rPr>
          <w:rFonts w:eastAsia="黑体"/>
          <w:b/>
          <w:bCs/>
          <w:sz w:val="26"/>
        </w:rPr>
      </w:pPr>
    </w:p>
    <w:p>
      <w:pPr>
        <w:ind w:firstLine="840" w:firstLineChars="300"/>
        <w:rPr>
          <w:rFonts w:eastAsia="仿宋_GB2312"/>
          <w:sz w:val="28"/>
          <w:szCs w:val="21"/>
        </w:rPr>
      </w:pPr>
    </w:p>
    <w:p>
      <w:pPr>
        <w:spacing w:before="312" w:beforeLines="100"/>
        <w:ind w:left="420" w:leftChars="200"/>
        <w:rPr>
          <w:b/>
          <w:bCs/>
          <w:color w:val="000000"/>
          <w:sz w:val="28"/>
          <w:szCs w:val="28"/>
        </w:rPr>
      </w:pPr>
      <w:r>
        <w:rPr>
          <w:b/>
          <w:bCs/>
          <w:color w:val="000000"/>
          <w:sz w:val="28"/>
          <w:szCs w:val="28"/>
        </w:rPr>
        <w:t>一、专业名称、代码和学制</w:t>
      </w:r>
    </w:p>
    <w:p>
      <w:pPr>
        <w:spacing w:before="156" w:beforeLines="50" w:after="156" w:afterLines="50" w:line="400" w:lineRule="exact"/>
        <w:ind w:left="482"/>
        <w:outlineLvl w:val="0"/>
        <w:rPr>
          <w:rFonts w:eastAsia="仿宋"/>
          <w:b/>
          <w:bCs/>
          <w:sz w:val="24"/>
        </w:rPr>
      </w:pPr>
      <w:r>
        <w:rPr>
          <w:rFonts w:eastAsia="仿宋"/>
          <w:b/>
          <w:bCs/>
          <w:color w:val="000000"/>
          <w:sz w:val="24"/>
        </w:rPr>
        <w:t>（一）专业名称（中英文）：</w:t>
      </w:r>
      <w:r>
        <w:rPr>
          <w:rFonts w:hint="eastAsia" w:eastAsia="仿宋"/>
          <w:b/>
          <w:bCs/>
          <w:sz w:val="24"/>
        </w:rPr>
        <w:t>电子信息科学与技术</w:t>
      </w:r>
      <w:r>
        <w:rPr>
          <w:rFonts w:eastAsia="仿宋"/>
          <w:b/>
          <w:bCs/>
          <w:sz w:val="24"/>
        </w:rPr>
        <w:t>（</w:t>
      </w:r>
      <w:r>
        <w:rPr>
          <w:rFonts w:hint="eastAsia" w:eastAsia="仿宋"/>
          <w:b/>
          <w:bCs/>
          <w:sz w:val="24"/>
        </w:rPr>
        <w:t>Electronic Information Science and Technology</w:t>
      </w:r>
      <w:r>
        <w:rPr>
          <w:rFonts w:eastAsia="仿宋"/>
          <w:b/>
          <w:bCs/>
          <w:sz w:val="24"/>
        </w:rPr>
        <w:t>）</w:t>
      </w:r>
    </w:p>
    <w:p>
      <w:pPr>
        <w:spacing w:before="156" w:beforeLines="50" w:line="400" w:lineRule="exact"/>
        <w:ind w:left="482"/>
        <w:rPr>
          <w:rFonts w:eastAsia="仿宋"/>
          <w:b/>
          <w:bCs/>
          <w:color w:val="000000"/>
          <w:sz w:val="24"/>
        </w:rPr>
      </w:pPr>
      <w:r>
        <w:rPr>
          <w:rFonts w:eastAsia="仿宋"/>
          <w:b/>
          <w:bCs/>
          <w:color w:val="000000"/>
          <w:sz w:val="24"/>
        </w:rPr>
        <w:t>（二）专业代码</w:t>
      </w:r>
      <w:r>
        <w:rPr>
          <w:rFonts w:hint="eastAsia" w:eastAsia="仿宋"/>
          <w:b/>
          <w:bCs/>
          <w:color w:val="000000"/>
          <w:sz w:val="24"/>
        </w:rPr>
        <w:t xml:space="preserve"> ：</w:t>
      </w:r>
      <w:r>
        <w:rPr>
          <w:rFonts w:eastAsia="仿宋"/>
          <w:b/>
          <w:bCs/>
          <w:sz w:val="24"/>
        </w:rPr>
        <w:t>080714T</w:t>
      </w:r>
    </w:p>
    <w:p>
      <w:pPr>
        <w:spacing w:before="156" w:beforeLines="50" w:line="400" w:lineRule="exact"/>
        <w:ind w:left="482"/>
        <w:rPr>
          <w:rFonts w:eastAsia="仿宋"/>
          <w:b/>
          <w:bCs/>
          <w:color w:val="000000"/>
          <w:sz w:val="24"/>
        </w:rPr>
      </w:pPr>
      <w:r>
        <w:rPr>
          <w:rFonts w:eastAsia="仿宋"/>
          <w:b/>
          <w:bCs/>
          <w:color w:val="000000"/>
          <w:sz w:val="24"/>
        </w:rPr>
        <w:t>（三）学制：</w:t>
      </w:r>
      <w:r>
        <w:rPr>
          <w:rFonts w:hint="eastAsia" w:eastAsia="仿宋"/>
          <w:b/>
          <w:bCs/>
          <w:color w:val="000000"/>
          <w:sz w:val="24"/>
        </w:rPr>
        <w:t>四年</w:t>
      </w:r>
    </w:p>
    <w:p>
      <w:pPr>
        <w:spacing w:before="312" w:beforeLines="100"/>
        <w:ind w:left="420" w:leftChars="200"/>
        <w:rPr>
          <w:b/>
          <w:bCs/>
          <w:color w:val="000000"/>
          <w:sz w:val="28"/>
          <w:szCs w:val="28"/>
        </w:rPr>
      </w:pPr>
      <w:r>
        <w:rPr>
          <w:b/>
          <w:bCs/>
          <w:color w:val="000000"/>
          <w:sz w:val="28"/>
          <w:szCs w:val="28"/>
        </w:rPr>
        <w:t>二、培养目标和毕业要求</w:t>
      </w:r>
    </w:p>
    <w:p>
      <w:pPr>
        <w:ind w:firstLine="482" w:firstLineChars="200"/>
        <w:rPr>
          <w:rFonts w:eastAsia="仿宋"/>
          <w:b/>
          <w:bCs/>
          <w:color w:val="000000"/>
          <w:sz w:val="24"/>
        </w:rPr>
      </w:pPr>
      <w:r>
        <w:rPr>
          <w:rFonts w:eastAsia="仿宋"/>
          <w:b/>
          <w:bCs/>
          <w:color w:val="000000"/>
          <w:sz w:val="24"/>
        </w:rPr>
        <w:t>（一）培养目标</w:t>
      </w:r>
    </w:p>
    <w:p>
      <w:pPr>
        <w:widowControl/>
        <w:adjustRightInd w:val="0"/>
        <w:snapToGrid w:val="0"/>
        <w:spacing w:line="400" w:lineRule="exact"/>
        <w:ind w:firstLine="420" w:firstLineChars="200"/>
        <w:rPr>
          <w:rFonts w:eastAsia="仿宋"/>
          <w:szCs w:val="21"/>
        </w:rPr>
      </w:pPr>
      <w:r>
        <w:rPr>
          <w:rFonts w:eastAsia="仿宋"/>
          <w:szCs w:val="21"/>
        </w:rPr>
        <w:t>本专业紧密结合</w:t>
      </w:r>
      <w:r>
        <w:rPr>
          <w:rFonts w:hint="eastAsia" w:eastAsia="仿宋"/>
          <w:szCs w:val="21"/>
        </w:rPr>
        <w:t>粤港澳大湾区建设的</w:t>
      </w:r>
      <w:r>
        <w:rPr>
          <w:rFonts w:eastAsia="仿宋"/>
          <w:szCs w:val="21"/>
        </w:rPr>
        <w:t>需求</w:t>
      </w:r>
      <w:r>
        <w:rPr>
          <w:rFonts w:hint="eastAsia" w:eastAsia="仿宋"/>
          <w:szCs w:val="21"/>
        </w:rPr>
        <w:t>，培养德、智、体全面发展,适应21世纪电子信息产业科技与社会经济发展需要，知识、能力、素质综合协调发展，理论联系实际、基础扎实、动手能力强，掌握电子信息系统的基础理论与分析设计方法，能在电子信息工程、电信、计算机网络通信等相关企事业单位从事电子产品与项目设计开发，技术改造，电子与通信设备运行、维护和管理等方面的工作，具有市场竞争力和一定创新和实践能力的应用型高级技术人才。</w:t>
      </w:r>
    </w:p>
    <w:p>
      <w:pPr>
        <w:widowControl/>
        <w:adjustRightInd w:val="0"/>
        <w:snapToGrid w:val="0"/>
        <w:spacing w:line="400" w:lineRule="exact"/>
        <w:ind w:firstLine="420" w:firstLineChars="200"/>
        <w:rPr>
          <w:rFonts w:eastAsia="仿宋"/>
          <w:szCs w:val="21"/>
        </w:rPr>
      </w:pPr>
      <w:r>
        <w:rPr>
          <w:rFonts w:eastAsia="仿宋"/>
          <w:szCs w:val="21"/>
        </w:rPr>
        <w:t>本专业学生</w:t>
      </w:r>
      <w:r>
        <w:rPr>
          <w:rFonts w:hint="eastAsia" w:eastAsia="仿宋"/>
          <w:szCs w:val="21"/>
        </w:rPr>
        <w:t>在毕业后5年内，达到以下培养目标：</w:t>
      </w:r>
    </w:p>
    <w:p>
      <w:pPr>
        <w:widowControl/>
        <w:numPr>
          <w:ilvl w:val="0"/>
          <w:numId w:val="1"/>
        </w:numPr>
        <w:adjustRightInd w:val="0"/>
        <w:snapToGrid w:val="0"/>
        <w:spacing w:line="400" w:lineRule="exact"/>
        <w:ind w:firstLine="420" w:firstLineChars="200"/>
        <w:rPr>
          <w:rFonts w:eastAsia="仿宋"/>
          <w:szCs w:val="21"/>
        </w:rPr>
      </w:pPr>
      <w:r>
        <w:rPr>
          <w:rFonts w:hint="eastAsia" w:eastAsia="仿宋"/>
          <w:szCs w:val="21"/>
        </w:rPr>
        <w:t>道德素养：具有良好的人文科学素养、职业道德与国际视野，在工作中表现出良好的社会责任感、事业心、安全与环保意识；</w:t>
      </w:r>
    </w:p>
    <w:p>
      <w:pPr>
        <w:widowControl/>
        <w:numPr>
          <w:ilvl w:val="0"/>
          <w:numId w:val="1"/>
        </w:numPr>
        <w:adjustRightInd w:val="0"/>
        <w:snapToGrid w:val="0"/>
        <w:spacing w:line="400" w:lineRule="exact"/>
        <w:ind w:firstLine="420" w:firstLineChars="200"/>
        <w:rPr>
          <w:rFonts w:eastAsia="仿宋"/>
          <w:szCs w:val="21"/>
        </w:rPr>
      </w:pPr>
      <w:r>
        <w:rPr>
          <w:rFonts w:eastAsia="仿宋"/>
          <w:szCs w:val="21"/>
        </w:rPr>
        <w:t>工程能力</w:t>
      </w:r>
      <w:r>
        <w:rPr>
          <w:rFonts w:hint="eastAsia" w:eastAsia="仿宋"/>
          <w:szCs w:val="21"/>
        </w:rPr>
        <w:t>：</w:t>
      </w:r>
      <w:r>
        <w:rPr>
          <w:rFonts w:eastAsia="仿宋"/>
          <w:szCs w:val="21"/>
        </w:rPr>
        <w:t>掌握扎实的专业基础知识和专业技能</w:t>
      </w:r>
      <w:r>
        <w:rPr>
          <w:rFonts w:hint="eastAsia" w:eastAsia="仿宋"/>
          <w:szCs w:val="21"/>
        </w:rPr>
        <w:t>，</w:t>
      </w:r>
      <w:r>
        <w:rPr>
          <w:rFonts w:eastAsia="仿宋"/>
          <w:szCs w:val="21"/>
        </w:rPr>
        <w:t>具备从事</w:t>
      </w:r>
      <w:r>
        <w:rPr>
          <w:rFonts w:hint="eastAsia" w:eastAsia="仿宋"/>
          <w:szCs w:val="21"/>
        </w:rPr>
        <w:t>电子信息</w:t>
      </w:r>
      <w:r>
        <w:rPr>
          <w:rFonts w:eastAsia="仿宋"/>
          <w:szCs w:val="21"/>
        </w:rPr>
        <w:t>领域产品研发</w:t>
      </w:r>
      <w:r>
        <w:rPr>
          <w:rFonts w:hint="eastAsia" w:eastAsia="仿宋"/>
          <w:szCs w:val="21"/>
        </w:rPr>
        <w:t>、设计与应用，电子信息技术等</w:t>
      </w:r>
      <w:r>
        <w:rPr>
          <w:rFonts w:eastAsia="仿宋"/>
          <w:szCs w:val="21"/>
        </w:rPr>
        <w:t>应用工作的复杂性工程实践能力</w:t>
      </w:r>
      <w:r>
        <w:rPr>
          <w:rFonts w:hint="eastAsia" w:eastAsia="仿宋"/>
          <w:szCs w:val="21"/>
        </w:rPr>
        <w:t>；</w:t>
      </w:r>
    </w:p>
    <w:p>
      <w:pPr>
        <w:widowControl/>
        <w:numPr>
          <w:ilvl w:val="0"/>
          <w:numId w:val="1"/>
        </w:numPr>
        <w:adjustRightInd w:val="0"/>
        <w:snapToGrid w:val="0"/>
        <w:spacing w:line="400" w:lineRule="exact"/>
        <w:ind w:firstLine="420" w:firstLineChars="200"/>
        <w:rPr>
          <w:rFonts w:eastAsia="仿宋"/>
          <w:szCs w:val="21"/>
        </w:rPr>
      </w:pPr>
      <w:r>
        <w:rPr>
          <w:rFonts w:hint="eastAsia" w:eastAsia="仿宋"/>
          <w:szCs w:val="21"/>
        </w:rPr>
        <w:t>工程伦理：在电子信息实践中能够综合考虑社会、健康、安全、法律、经济、文化以及环境等因素，拥有良好的工程职业道德；</w:t>
      </w:r>
    </w:p>
    <w:p>
      <w:pPr>
        <w:widowControl/>
        <w:numPr>
          <w:ilvl w:val="0"/>
          <w:numId w:val="1"/>
        </w:numPr>
        <w:adjustRightInd w:val="0"/>
        <w:snapToGrid w:val="0"/>
        <w:spacing w:line="400" w:lineRule="exact"/>
        <w:ind w:firstLine="420" w:firstLineChars="200"/>
        <w:rPr>
          <w:rFonts w:eastAsia="仿宋"/>
          <w:szCs w:val="21"/>
        </w:rPr>
      </w:pPr>
      <w:r>
        <w:rPr>
          <w:rFonts w:eastAsia="仿宋"/>
          <w:szCs w:val="21"/>
        </w:rPr>
        <w:t>团队合作</w:t>
      </w:r>
      <w:r>
        <w:rPr>
          <w:rFonts w:hint="eastAsia" w:eastAsia="仿宋"/>
          <w:szCs w:val="21"/>
        </w:rPr>
        <w:t>：</w:t>
      </w:r>
      <w:r>
        <w:rPr>
          <w:rFonts w:eastAsia="仿宋"/>
          <w:szCs w:val="21"/>
        </w:rPr>
        <w:t>具有良好的团队合作精神</w:t>
      </w:r>
      <w:r>
        <w:rPr>
          <w:rFonts w:hint="eastAsia" w:eastAsia="仿宋"/>
          <w:szCs w:val="21"/>
        </w:rPr>
        <w:t>、交流与沟通能力、组织协调能力，能够在实际工作中适应不同的角色；</w:t>
      </w:r>
    </w:p>
    <w:p>
      <w:pPr>
        <w:widowControl/>
        <w:numPr>
          <w:ilvl w:val="0"/>
          <w:numId w:val="1"/>
        </w:numPr>
        <w:adjustRightInd w:val="0"/>
        <w:snapToGrid w:val="0"/>
        <w:spacing w:line="400" w:lineRule="exact"/>
        <w:ind w:firstLine="420" w:firstLineChars="200"/>
        <w:rPr>
          <w:rFonts w:eastAsia="仿宋"/>
          <w:szCs w:val="21"/>
        </w:rPr>
      </w:pPr>
      <w:r>
        <w:rPr>
          <w:rFonts w:eastAsia="仿宋"/>
          <w:szCs w:val="21"/>
        </w:rPr>
        <w:t>终身学习</w:t>
      </w:r>
      <w:r>
        <w:rPr>
          <w:rFonts w:hint="eastAsia" w:eastAsia="仿宋"/>
          <w:szCs w:val="21"/>
        </w:rPr>
        <w:t>：</w:t>
      </w:r>
      <w:r>
        <w:rPr>
          <w:rFonts w:eastAsia="仿宋"/>
          <w:szCs w:val="21"/>
        </w:rPr>
        <w:t>能够主动适应社会环境</w:t>
      </w:r>
      <w:r>
        <w:rPr>
          <w:rFonts w:hint="eastAsia" w:eastAsia="仿宋"/>
          <w:szCs w:val="21"/>
        </w:rPr>
        <w:t>、</w:t>
      </w:r>
      <w:r>
        <w:rPr>
          <w:rFonts w:eastAsia="仿宋"/>
          <w:szCs w:val="21"/>
        </w:rPr>
        <w:t>技术的发展变化</w:t>
      </w:r>
      <w:r>
        <w:rPr>
          <w:rFonts w:hint="eastAsia" w:eastAsia="仿宋"/>
          <w:szCs w:val="21"/>
        </w:rPr>
        <w:t>，能够通过继续教育或其它终身学习的途径更新知识，实现能力和技术水平的不断提升。</w:t>
      </w:r>
    </w:p>
    <w:p>
      <w:pPr>
        <w:widowControl/>
        <w:adjustRightInd w:val="0"/>
        <w:snapToGrid w:val="0"/>
        <w:spacing w:line="400" w:lineRule="exact"/>
        <w:ind w:firstLine="420" w:firstLineChars="200"/>
        <w:rPr>
          <w:rFonts w:eastAsia="仿宋"/>
          <w:szCs w:val="21"/>
        </w:rPr>
      </w:pPr>
    </w:p>
    <w:p>
      <w:pPr>
        <w:numPr>
          <w:ilvl w:val="0"/>
          <w:numId w:val="2"/>
        </w:numPr>
        <w:spacing w:before="156" w:beforeLines="50" w:line="400" w:lineRule="exact"/>
        <w:ind w:firstLine="482" w:firstLineChars="200"/>
        <w:rPr>
          <w:rFonts w:eastAsia="仿宋"/>
          <w:b/>
          <w:bCs/>
          <w:color w:val="000000"/>
          <w:sz w:val="24"/>
        </w:rPr>
      </w:pPr>
      <w:r>
        <w:rPr>
          <w:rFonts w:eastAsia="仿宋"/>
          <w:b/>
          <w:bCs/>
          <w:color w:val="000000"/>
          <w:sz w:val="24"/>
        </w:rPr>
        <w:t>毕业要求</w:t>
      </w:r>
    </w:p>
    <w:p>
      <w:pPr>
        <w:widowControl/>
        <w:numPr>
          <w:ilvl w:val="0"/>
          <w:numId w:val="3"/>
        </w:numPr>
        <w:adjustRightInd w:val="0"/>
        <w:snapToGrid w:val="0"/>
        <w:spacing w:line="400" w:lineRule="exact"/>
        <w:rPr>
          <w:rFonts w:eastAsia="仿宋"/>
          <w:szCs w:val="21"/>
        </w:rPr>
      </w:pPr>
      <w:r>
        <w:rPr>
          <w:rFonts w:hint="eastAsia" w:eastAsia="仿宋"/>
          <w:szCs w:val="21"/>
        </w:rPr>
        <w:t>工程</w:t>
      </w:r>
      <w:r>
        <w:rPr>
          <w:rFonts w:eastAsia="仿宋"/>
          <w:szCs w:val="21"/>
        </w:rPr>
        <w:t>知识</w:t>
      </w:r>
      <w:r>
        <w:rPr>
          <w:rFonts w:hint="eastAsia" w:eastAsia="仿宋"/>
          <w:szCs w:val="21"/>
        </w:rPr>
        <w:t>：</w:t>
      </w:r>
      <w:r>
        <w:rPr>
          <w:rFonts w:eastAsia="仿宋"/>
          <w:szCs w:val="21"/>
        </w:rPr>
        <w:t>能够将数学</w:t>
      </w:r>
      <w:r>
        <w:rPr>
          <w:rFonts w:hint="eastAsia" w:eastAsia="仿宋"/>
          <w:szCs w:val="21"/>
        </w:rPr>
        <w:t>、</w:t>
      </w:r>
      <w:r>
        <w:rPr>
          <w:rFonts w:eastAsia="仿宋"/>
          <w:szCs w:val="21"/>
        </w:rPr>
        <w:t>自然科学</w:t>
      </w:r>
      <w:r>
        <w:rPr>
          <w:rFonts w:hint="eastAsia" w:eastAsia="仿宋"/>
          <w:szCs w:val="21"/>
        </w:rPr>
        <w:t>、数据科学的理论与方法</w:t>
      </w:r>
      <w:r>
        <w:rPr>
          <w:rFonts w:eastAsia="仿宋"/>
          <w:szCs w:val="21"/>
        </w:rPr>
        <w:t>用于解决</w:t>
      </w:r>
      <w:r>
        <w:rPr>
          <w:rFonts w:hint="eastAsia" w:eastAsia="仿宋"/>
          <w:szCs w:val="21"/>
        </w:rPr>
        <w:t>本专业领域的</w:t>
      </w:r>
      <w:r>
        <w:rPr>
          <w:rFonts w:eastAsia="仿宋"/>
          <w:szCs w:val="21"/>
        </w:rPr>
        <w:t>复杂工程问题</w:t>
      </w:r>
      <w:r>
        <w:rPr>
          <w:rFonts w:hint="eastAsia" w:eastAsia="仿宋"/>
          <w:szCs w:val="21"/>
        </w:rPr>
        <w:t>。</w:t>
      </w:r>
    </w:p>
    <w:p>
      <w:pPr>
        <w:widowControl/>
        <w:numPr>
          <w:ilvl w:val="0"/>
          <w:numId w:val="3"/>
        </w:numPr>
        <w:adjustRightInd w:val="0"/>
        <w:snapToGrid w:val="0"/>
        <w:spacing w:line="400" w:lineRule="exact"/>
        <w:rPr>
          <w:rFonts w:eastAsia="仿宋"/>
          <w:szCs w:val="21"/>
        </w:rPr>
      </w:pPr>
      <w:r>
        <w:rPr>
          <w:rFonts w:hint="eastAsia" w:eastAsia="仿宋"/>
          <w:szCs w:val="21"/>
        </w:rPr>
        <w:t>问题分析：能够应用数学、</w:t>
      </w:r>
      <w:r>
        <w:rPr>
          <w:rFonts w:eastAsia="仿宋"/>
          <w:szCs w:val="21"/>
        </w:rPr>
        <w:t>自然科学</w:t>
      </w:r>
      <w:r>
        <w:rPr>
          <w:rFonts w:hint="eastAsia" w:eastAsia="仿宋"/>
          <w:szCs w:val="21"/>
        </w:rPr>
        <w:t>、工程</w:t>
      </w:r>
      <w:r>
        <w:rPr>
          <w:rFonts w:eastAsia="仿宋"/>
          <w:szCs w:val="21"/>
        </w:rPr>
        <w:t>科学的基本原理</w:t>
      </w:r>
      <w:r>
        <w:rPr>
          <w:rFonts w:hint="eastAsia" w:eastAsia="仿宋"/>
          <w:szCs w:val="21"/>
        </w:rPr>
        <w:t>，经过识别、表达，通过文献等资料的研究，分析本专业领域的</w:t>
      </w:r>
      <w:r>
        <w:rPr>
          <w:rFonts w:eastAsia="仿宋"/>
          <w:szCs w:val="21"/>
        </w:rPr>
        <w:t>复杂工程问题</w:t>
      </w:r>
      <w:r>
        <w:rPr>
          <w:rFonts w:hint="eastAsia" w:eastAsia="仿宋"/>
          <w:szCs w:val="21"/>
        </w:rPr>
        <w:t>，并提出解决该类问题的解决方法。</w:t>
      </w:r>
    </w:p>
    <w:p>
      <w:pPr>
        <w:widowControl/>
        <w:numPr>
          <w:ilvl w:val="0"/>
          <w:numId w:val="3"/>
        </w:numPr>
        <w:adjustRightInd w:val="0"/>
        <w:snapToGrid w:val="0"/>
        <w:spacing w:line="400" w:lineRule="exact"/>
        <w:rPr>
          <w:rFonts w:eastAsia="仿宋"/>
          <w:szCs w:val="21"/>
        </w:rPr>
      </w:pPr>
      <w:r>
        <w:rPr>
          <w:rFonts w:hint="eastAsia" w:eastAsia="仿宋"/>
          <w:szCs w:val="21"/>
        </w:rPr>
        <w:t>设计/开发解决方案：能够设计针对电子信息专业领域的复杂工程问题的解决方案，开发满足特定需求的电子信息产品、系统，并能够在设计或开发环节考虑社会、健康、安全、法律、文化及环境等因素。</w:t>
      </w:r>
    </w:p>
    <w:p>
      <w:pPr>
        <w:widowControl/>
        <w:numPr>
          <w:ilvl w:val="0"/>
          <w:numId w:val="3"/>
        </w:numPr>
        <w:adjustRightInd w:val="0"/>
        <w:snapToGrid w:val="0"/>
        <w:spacing w:line="400" w:lineRule="exact"/>
        <w:rPr>
          <w:rFonts w:eastAsia="仿宋"/>
          <w:szCs w:val="21"/>
        </w:rPr>
      </w:pPr>
      <w:r>
        <w:rPr>
          <w:rFonts w:eastAsia="仿宋"/>
          <w:szCs w:val="21"/>
        </w:rPr>
        <w:t>研究</w:t>
      </w:r>
      <w:r>
        <w:rPr>
          <w:rFonts w:hint="eastAsia" w:eastAsia="仿宋"/>
          <w:szCs w:val="21"/>
        </w:rPr>
        <w:t>：</w:t>
      </w:r>
      <w:r>
        <w:rPr>
          <w:rFonts w:eastAsia="仿宋"/>
          <w:szCs w:val="21"/>
        </w:rPr>
        <w:t>能够采用科学的方法对</w:t>
      </w:r>
      <w:r>
        <w:rPr>
          <w:rFonts w:hint="eastAsia" w:eastAsia="仿宋"/>
          <w:szCs w:val="21"/>
        </w:rPr>
        <w:t>电子信息专业领域的</w:t>
      </w:r>
      <w:r>
        <w:rPr>
          <w:rFonts w:eastAsia="仿宋"/>
          <w:szCs w:val="21"/>
        </w:rPr>
        <w:t>复杂工程问题进行研究</w:t>
      </w:r>
      <w:r>
        <w:rPr>
          <w:rFonts w:hint="eastAsia" w:eastAsia="仿宋"/>
          <w:szCs w:val="21"/>
        </w:rPr>
        <w:t>，</w:t>
      </w:r>
      <w:r>
        <w:rPr>
          <w:rFonts w:eastAsia="仿宋"/>
          <w:szCs w:val="21"/>
        </w:rPr>
        <w:t>包括设计实验</w:t>
      </w:r>
      <w:r>
        <w:rPr>
          <w:rFonts w:hint="eastAsia" w:eastAsia="仿宋"/>
          <w:szCs w:val="21"/>
        </w:rPr>
        <w:t>、</w:t>
      </w:r>
      <w:r>
        <w:rPr>
          <w:rFonts w:eastAsia="仿宋"/>
          <w:szCs w:val="21"/>
        </w:rPr>
        <w:t>分析与解释数据</w:t>
      </w:r>
      <w:r>
        <w:rPr>
          <w:rFonts w:hint="eastAsia" w:eastAsia="仿宋"/>
          <w:szCs w:val="21"/>
        </w:rPr>
        <w:t>、并能通过信息综合得到有效的结论。</w:t>
      </w:r>
    </w:p>
    <w:p>
      <w:pPr>
        <w:widowControl/>
        <w:numPr>
          <w:ilvl w:val="0"/>
          <w:numId w:val="3"/>
        </w:numPr>
        <w:adjustRightInd w:val="0"/>
        <w:snapToGrid w:val="0"/>
        <w:spacing w:line="400" w:lineRule="exact"/>
        <w:rPr>
          <w:rFonts w:eastAsia="仿宋"/>
          <w:szCs w:val="21"/>
        </w:rPr>
      </w:pPr>
      <w:r>
        <w:rPr>
          <w:rFonts w:eastAsia="仿宋"/>
          <w:szCs w:val="21"/>
        </w:rPr>
        <w:t>使用现代工具</w:t>
      </w:r>
      <w:r>
        <w:rPr>
          <w:rFonts w:hint="eastAsia" w:eastAsia="仿宋"/>
          <w:szCs w:val="21"/>
        </w:rPr>
        <w:t>：</w:t>
      </w:r>
      <w:r>
        <w:rPr>
          <w:rFonts w:eastAsia="仿宋"/>
          <w:szCs w:val="21"/>
        </w:rPr>
        <w:t>能够针对</w:t>
      </w:r>
      <w:r>
        <w:rPr>
          <w:rFonts w:hint="eastAsia" w:eastAsia="仿宋"/>
          <w:szCs w:val="21"/>
        </w:rPr>
        <w:t>电子信息专业领域的</w:t>
      </w:r>
      <w:r>
        <w:rPr>
          <w:rFonts w:eastAsia="仿宋"/>
          <w:szCs w:val="21"/>
        </w:rPr>
        <w:t>复杂工程问题</w:t>
      </w:r>
      <w:r>
        <w:rPr>
          <w:rFonts w:hint="eastAsia" w:eastAsia="仿宋"/>
          <w:szCs w:val="21"/>
        </w:rPr>
        <w:t>，开发、</w:t>
      </w:r>
      <w:r>
        <w:rPr>
          <w:rFonts w:eastAsia="仿宋"/>
          <w:szCs w:val="21"/>
        </w:rPr>
        <w:t>选择并使用恰当的技术</w:t>
      </w:r>
      <w:r>
        <w:rPr>
          <w:rFonts w:hint="eastAsia" w:eastAsia="仿宋"/>
          <w:szCs w:val="21"/>
        </w:rPr>
        <w:t>、</w:t>
      </w:r>
      <w:r>
        <w:rPr>
          <w:rFonts w:eastAsia="仿宋"/>
          <w:szCs w:val="21"/>
        </w:rPr>
        <w:t>资源</w:t>
      </w:r>
      <w:r>
        <w:rPr>
          <w:rFonts w:hint="eastAsia" w:eastAsia="仿宋"/>
          <w:szCs w:val="21"/>
        </w:rPr>
        <w:t>、</w:t>
      </w:r>
      <w:r>
        <w:rPr>
          <w:rFonts w:eastAsia="仿宋"/>
          <w:szCs w:val="21"/>
        </w:rPr>
        <w:t>现代开发工具</w:t>
      </w:r>
      <w:r>
        <w:rPr>
          <w:rFonts w:hint="eastAsia" w:eastAsia="仿宋"/>
          <w:szCs w:val="21"/>
        </w:rPr>
        <w:t>，包括对复杂工程问题的预测和模拟，并能够理解其局限性。</w:t>
      </w:r>
    </w:p>
    <w:p>
      <w:pPr>
        <w:widowControl/>
        <w:numPr>
          <w:ilvl w:val="0"/>
          <w:numId w:val="3"/>
        </w:numPr>
        <w:adjustRightInd w:val="0"/>
        <w:snapToGrid w:val="0"/>
        <w:spacing w:line="400" w:lineRule="exact"/>
        <w:rPr>
          <w:rFonts w:eastAsia="仿宋"/>
          <w:szCs w:val="21"/>
        </w:rPr>
      </w:pPr>
      <w:r>
        <w:rPr>
          <w:rFonts w:eastAsia="仿宋"/>
          <w:szCs w:val="21"/>
        </w:rPr>
        <w:t>工程与社会</w:t>
      </w:r>
      <w:r>
        <w:rPr>
          <w:rFonts w:hint="eastAsia" w:eastAsia="仿宋"/>
          <w:szCs w:val="21"/>
        </w:rPr>
        <w:t>：</w:t>
      </w:r>
      <w:r>
        <w:rPr>
          <w:rFonts w:eastAsia="仿宋"/>
          <w:szCs w:val="21"/>
        </w:rPr>
        <w:t>能够基于工程背景知识进行合理分析</w:t>
      </w:r>
      <w:r>
        <w:rPr>
          <w:rFonts w:hint="eastAsia" w:eastAsia="仿宋"/>
          <w:szCs w:val="21"/>
        </w:rPr>
        <w:t>，</w:t>
      </w:r>
      <w:r>
        <w:rPr>
          <w:rFonts w:eastAsia="仿宋"/>
          <w:szCs w:val="21"/>
        </w:rPr>
        <w:t>评价</w:t>
      </w:r>
      <w:r>
        <w:rPr>
          <w:rFonts w:hint="eastAsia" w:eastAsia="仿宋"/>
          <w:szCs w:val="21"/>
        </w:rPr>
        <w:t>电子信息专业工程实践和</w:t>
      </w:r>
      <w:r>
        <w:rPr>
          <w:rFonts w:eastAsia="仿宋"/>
          <w:szCs w:val="21"/>
        </w:rPr>
        <w:t>复杂工程问题的解决方案对社会</w:t>
      </w:r>
      <w:r>
        <w:rPr>
          <w:rFonts w:hint="eastAsia" w:eastAsia="仿宋"/>
          <w:szCs w:val="21"/>
        </w:rPr>
        <w:t>、</w:t>
      </w:r>
      <w:r>
        <w:rPr>
          <w:rFonts w:eastAsia="仿宋"/>
          <w:szCs w:val="21"/>
        </w:rPr>
        <w:t>健康</w:t>
      </w:r>
      <w:r>
        <w:rPr>
          <w:rFonts w:hint="eastAsia" w:eastAsia="仿宋"/>
          <w:szCs w:val="21"/>
        </w:rPr>
        <w:t>、</w:t>
      </w:r>
      <w:r>
        <w:rPr>
          <w:rFonts w:eastAsia="仿宋"/>
          <w:szCs w:val="21"/>
        </w:rPr>
        <w:t>安全</w:t>
      </w:r>
      <w:r>
        <w:rPr>
          <w:rFonts w:hint="eastAsia" w:eastAsia="仿宋"/>
          <w:szCs w:val="21"/>
        </w:rPr>
        <w:t>、</w:t>
      </w:r>
      <w:r>
        <w:rPr>
          <w:rFonts w:eastAsia="仿宋"/>
          <w:szCs w:val="21"/>
        </w:rPr>
        <w:t>法律以及文化的影响</w:t>
      </w:r>
      <w:r>
        <w:rPr>
          <w:rFonts w:hint="eastAsia" w:eastAsia="仿宋"/>
          <w:szCs w:val="21"/>
        </w:rPr>
        <w:t>，</w:t>
      </w:r>
      <w:r>
        <w:rPr>
          <w:rFonts w:eastAsia="仿宋"/>
          <w:szCs w:val="21"/>
        </w:rPr>
        <w:t>并理解应承担的责任</w:t>
      </w:r>
      <w:r>
        <w:rPr>
          <w:rFonts w:hint="eastAsia" w:eastAsia="仿宋"/>
          <w:szCs w:val="21"/>
        </w:rPr>
        <w:t>。</w:t>
      </w:r>
    </w:p>
    <w:p>
      <w:pPr>
        <w:widowControl/>
        <w:numPr>
          <w:ilvl w:val="0"/>
          <w:numId w:val="3"/>
        </w:numPr>
        <w:adjustRightInd w:val="0"/>
        <w:snapToGrid w:val="0"/>
        <w:spacing w:line="400" w:lineRule="exact"/>
        <w:rPr>
          <w:rFonts w:eastAsia="仿宋"/>
          <w:szCs w:val="21"/>
        </w:rPr>
      </w:pPr>
      <w:r>
        <w:rPr>
          <w:rFonts w:eastAsia="仿宋"/>
          <w:szCs w:val="21"/>
        </w:rPr>
        <w:t>环境和可持续发展</w:t>
      </w:r>
      <w:r>
        <w:rPr>
          <w:rFonts w:hint="eastAsia" w:eastAsia="仿宋"/>
          <w:szCs w:val="21"/>
        </w:rPr>
        <w:t>：</w:t>
      </w:r>
      <w:r>
        <w:rPr>
          <w:rFonts w:eastAsia="仿宋"/>
          <w:szCs w:val="21"/>
        </w:rPr>
        <w:t>能够理解和评价针对</w:t>
      </w:r>
      <w:r>
        <w:rPr>
          <w:rFonts w:hint="eastAsia" w:eastAsia="仿宋"/>
          <w:szCs w:val="21"/>
        </w:rPr>
        <w:t>电子信息专业</w:t>
      </w:r>
      <w:r>
        <w:rPr>
          <w:rFonts w:eastAsia="仿宋"/>
          <w:szCs w:val="21"/>
        </w:rPr>
        <w:t>复杂工程问题的</w:t>
      </w:r>
      <w:r>
        <w:rPr>
          <w:rFonts w:hint="eastAsia" w:eastAsia="仿宋"/>
          <w:szCs w:val="21"/>
        </w:rPr>
        <w:t>具体</w:t>
      </w:r>
      <w:r>
        <w:rPr>
          <w:rFonts w:eastAsia="仿宋"/>
          <w:szCs w:val="21"/>
        </w:rPr>
        <w:t>工程实践对环境</w:t>
      </w:r>
      <w:r>
        <w:rPr>
          <w:rFonts w:hint="eastAsia" w:eastAsia="仿宋"/>
          <w:szCs w:val="21"/>
        </w:rPr>
        <w:t>、</w:t>
      </w:r>
      <w:r>
        <w:rPr>
          <w:rFonts w:eastAsia="仿宋"/>
          <w:szCs w:val="21"/>
        </w:rPr>
        <w:t>社会可持续发展的影响</w:t>
      </w:r>
      <w:r>
        <w:rPr>
          <w:rFonts w:hint="eastAsia" w:eastAsia="仿宋"/>
          <w:szCs w:val="21"/>
        </w:rPr>
        <w:t>。</w:t>
      </w:r>
    </w:p>
    <w:p>
      <w:pPr>
        <w:widowControl/>
        <w:numPr>
          <w:ilvl w:val="0"/>
          <w:numId w:val="3"/>
        </w:numPr>
        <w:adjustRightInd w:val="0"/>
        <w:snapToGrid w:val="0"/>
        <w:spacing w:line="400" w:lineRule="exact"/>
        <w:rPr>
          <w:rFonts w:eastAsia="仿宋"/>
          <w:szCs w:val="21"/>
        </w:rPr>
      </w:pPr>
      <w:r>
        <w:rPr>
          <w:rFonts w:eastAsia="仿宋"/>
          <w:szCs w:val="21"/>
        </w:rPr>
        <w:t>职业规范</w:t>
      </w:r>
      <w:r>
        <w:rPr>
          <w:rFonts w:hint="eastAsia" w:eastAsia="仿宋"/>
          <w:szCs w:val="21"/>
        </w:rPr>
        <w:t>：</w:t>
      </w:r>
      <w:r>
        <w:rPr>
          <w:rFonts w:eastAsia="仿宋"/>
          <w:szCs w:val="21"/>
        </w:rPr>
        <w:t>具有人文社会科学素养</w:t>
      </w:r>
      <w:r>
        <w:rPr>
          <w:rFonts w:hint="eastAsia" w:eastAsia="仿宋"/>
          <w:szCs w:val="21"/>
        </w:rPr>
        <w:t>、</w:t>
      </w:r>
      <w:r>
        <w:rPr>
          <w:rFonts w:eastAsia="仿宋"/>
          <w:szCs w:val="21"/>
        </w:rPr>
        <w:t>社会责任感</w:t>
      </w:r>
      <w:r>
        <w:rPr>
          <w:rFonts w:hint="eastAsia" w:eastAsia="仿宋"/>
          <w:szCs w:val="21"/>
        </w:rPr>
        <w:t>，</w:t>
      </w:r>
      <w:r>
        <w:rPr>
          <w:rFonts w:eastAsia="仿宋"/>
          <w:szCs w:val="21"/>
        </w:rPr>
        <w:t>能够在</w:t>
      </w:r>
      <w:r>
        <w:rPr>
          <w:rFonts w:hint="eastAsia" w:eastAsia="仿宋"/>
          <w:szCs w:val="21"/>
        </w:rPr>
        <w:t>电子信息专业</w:t>
      </w:r>
      <w:r>
        <w:rPr>
          <w:rFonts w:eastAsia="仿宋"/>
          <w:szCs w:val="21"/>
        </w:rPr>
        <w:t>工程实践中理解并遵守工程职业道德和规范</w:t>
      </w:r>
      <w:r>
        <w:rPr>
          <w:rFonts w:hint="eastAsia" w:eastAsia="仿宋"/>
          <w:szCs w:val="21"/>
        </w:rPr>
        <w:t>，</w:t>
      </w:r>
      <w:r>
        <w:rPr>
          <w:rFonts w:eastAsia="仿宋"/>
          <w:szCs w:val="21"/>
        </w:rPr>
        <w:t>履行责任</w:t>
      </w:r>
      <w:r>
        <w:rPr>
          <w:rFonts w:hint="eastAsia" w:eastAsia="仿宋"/>
          <w:szCs w:val="21"/>
        </w:rPr>
        <w:t>。</w:t>
      </w:r>
    </w:p>
    <w:p>
      <w:pPr>
        <w:widowControl/>
        <w:numPr>
          <w:ilvl w:val="0"/>
          <w:numId w:val="3"/>
        </w:numPr>
        <w:adjustRightInd w:val="0"/>
        <w:snapToGrid w:val="0"/>
        <w:spacing w:line="400" w:lineRule="exact"/>
        <w:rPr>
          <w:rFonts w:eastAsia="仿宋"/>
          <w:szCs w:val="21"/>
        </w:rPr>
      </w:pPr>
      <w:r>
        <w:rPr>
          <w:rFonts w:eastAsia="仿宋"/>
          <w:szCs w:val="21"/>
        </w:rPr>
        <w:t>个人和团队</w:t>
      </w:r>
      <w:r>
        <w:rPr>
          <w:rFonts w:hint="eastAsia" w:eastAsia="仿宋"/>
          <w:szCs w:val="21"/>
        </w:rPr>
        <w:t>：</w:t>
      </w:r>
      <w:r>
        <w:rPr>
          <w:rFonts w:eastAsia="仿宋"/>
          <w:szCs w:val="21"/>
        </w:rPr>
        <w:t>能够在</w:t>
      </w:r>
      <w:r>
        <w:rPr>
          <w:rFonts w:hint="eastAsia" w:eastAsia="仿宋"/>
          <w:szCs w:val="21"/>
        </w:rPr>
        <w:t>多学科背景下的</w:t>
      </w:r>
      <w:r>
        <w:rPr>
          <w:rFonts w:eastAsia="仿宋"/>
          <w:szCs w:val="21"/>
        </w:rPr>
        <w:t>团队中承担个体</w:t>
      </w:r>
      <w:r>
        <w:rPr>
          <w:rFonts w:hint="eastAsia" w:eastAsia="仿宋"/>
          <w:szCs w:val="21"/>
        </w:rPr>
        <w:t>、</w:t>
      </w:r>
      <w:r>
        <w:rPr>
          <w:rFonts w:eastAsia="仿宋"/>
          <w:szCs w:val="21"/>
        </w:rPr>
        <w:t>团队成员以及负责人的角色</w:t>
      </w:r>
      <w:r>
        <w:rPr>
          <w:rFonts w:hint="eastAsia" w:eastAsia="仿宋"/>
          <w:szCs w:val="21"/>
        </w:rPr>
        <w:t>。</w:t>
      </w:r>
    </w:p>
    <w:p>
      <w:pPr>
        <w:widowControl/>
        <w:numPr>
          <w:ilvl w:val="0"/>
          <w:numId w:val="3"/>
        </w:numPr>
        <w:adjustRightInd w:val="0"/>
        <w:snapToGrid w:val="0"/>
        <w:spacing w:line="400" w:lineRule="exact"/>
        <w:rPr>
          <w:rFonts w:eastAsia="仿宋"/>
          <w:szCs w:val="21"/>
        </w:rPr>
      </w:pPr>
      <w:r>
        <w:rPr>
          <w:rFonts w:eastAsia="仿宋"/>
          <w:szCs w:val="21"/>
        </w:rPr>
        <w:t>沟通</w:t>
      </w:r>
      <w:r>
        <w:rPr>
          <w:rFonts w:hint="eastAsia" w:eastAsia="仿宋"/>
          <w:szCs w:val="21"/>
        </w:rPr>
        <w:t>：掌握与社会公众沟通交流的基本技巧；</w:t>
      </w:r>
      <w:r>
        <w:rPr>
          <w:rFonts w:eastAsia="仿宋"/>
          <w:szCs w:val="21"/>
        </w:rPr>
        <w:t>能够</w:t>
      </w:r>
      <w:r>
        <w:rPr>
          <w:rFonts w:hint="eastAsia" w:eastAsia="仿宋"/>
          <w:szCs w:val="21"/>
        </w:rPr>
        <w:t>与业界同行就电子信息专业领域的复杂</w:t>
      </w:r>
      <w:r>
        <w:rPr>
          <w:rFonts w:eastAsia="仿宋"/>
          <w:szCs w:val="21"/>
        </w:rPr>
        <w:t>工程问题进行</w:t>
      </w:r>
      <w:r>
        <w:rPr>
          <w:rFonts w:hint="eastAsia" w:eastAsia="仿宋"/>
          <w:szCs w:val="21"/>
        </w:rPr>
        <w:t>学术交流和有效沟通，</w:t>
      </w:r>
      <w:r>
        <w:rPr>
          <w:rFonts w:eastAsia="仿宋"/>
          <w:szCs w:val="21"/>
        </w:rPr>
        <w:t>包括撰写报告</w:t>
      </w:r>
      <w:r>
        <w:rPr>
          <w:rFonts w:hint="eastAsia" w:eastAsia="仿宋"/>
          <w:szCs w:val="21"/>
        </w:rPr>
        <w:t>、陈述</w:t>
      </w:r>
      <w:r>
        <w:rPr>
          <w:rFonts w:eastAsia="仿宋"/>
          <w:szCs w:val="21"/>
        </w:rPr>
        <w:t>发言</w:t>
      </w:r>
      <w:r>
        <w:rPr>
          <w:rFonts w:hint="eastAsia" w:eastAsia="仿宋"/>
          <w:szCs w:val="21"/>
        </w:rPr>
        <w:t>、</w:t>
      </w:r>
      <w:r>
        <w:rPr>
          <w:rFonts w:eastAsia="仿宋"/>
          <w:szCs w:val="21"/>
        </w:rPr>
        <w:t>清晰表达或回应指令</w:t>
      </w:r>
      <w:r>
        <w:rPr>
          <w:rFonts w:hint="eastAsia" w:eastAsia="仿宋"/>
          <w:szCs w:val="21"/>
        </w:rPr>
        <w:t>；</w:t>
      </w:r>
      <w:r>
        <w:rPr>
          <w:rFonts w:eastAsia="仿宋"/>
          <w:szCs w:val="21"/>
        </w:rPr>
        <w:t>具备一定的国际视野</w:t>
      </w:r>
      <w:r>
        <w:rPr>
          <w:rFonts w:hint="eastAsia" w:eastAsia="仿宋"/>
          <w:szCs w:val="21"/>
        </w:rPr>
        <w:t>，</w:t>
      </w:r>
      <w:r>
        <w:rPr>
          <w:rFonts w:eastAsia="仿宋"/>
          <w:szCs w:val="21"/>
        </w:rPr>
        <w:t>能够在跨文化背景下进行沟通与交流。</w:t>
      </w:r>
    </w:p>
    <w:p>
      <w:pPr>
        <w:widowControl/>
        <w:numPr>
          <w:ilvl w:val="0"/>
          <w:numId w:val="3"/>
        </w:numPr>
        <w:adjustRightInd w:val="0"/>
        <w:snapToGrid w:val="0"/>
        <w:spacing w:line="400" w:lineRule="exact"/>
        <w:rPr>
          <w:rFonts w:eastAsia="仿宋"/>
          <w:szCs w:val="21"/>
        </w:rPr>
      </w:pPr>
      <w:r>
        <w:rPr>
          <w:rFonts w:eastAsia="仿宋"/>
          <w:szCs w:val="21"/>
        </w:rPr>
        <w:t>项目管理</w:t>
      </w:r>
      <w:r>
        <w:rPr>
          <w:rFonts w:hint="eastAsia" w:eastAsia="仿宋"/>
          <w:szCs w:val="21"/>
        </w:rPr>
        <w:t>：</w:t>
      </w:r>
      <w:r>
        <w:rPr>
          <w:rFonts w:eastAsia="仿宋"/>
          <w:szCs w:val="21"/>
        </w:rPr>
        <w:t>理解并掌握工程管理原理与经济决策方法</w:t>
      </w:r>
      <w:r>
        <w:rPr>
          <w:rFonts w:hint="eastAsia" w:eastAsia="仿宋"/>
          <w:szCs w:val="21"/>
        </w:rPr>
        <w:t>，</w:t>
      </w:r>
      <w:r>
        <w:rPr>
          <w:rFonts w:eastAsia="仿宋"/>
          <w:szCs w:val="21"/>
        </w:rPr>
        <w:t>并能在多学科环境中应用</w:t>
      </w:r>
      <w:r>
        <w:rPr>
          <w:rFonts w:hint="eastAsia" w:eastAsia="仿宋"/>
          <w:szCs w:val="21"/>
        </w:rPr>
        <w:t>。</w:t>
      </w:r>
    </w:p>
    <w:p>
      <w:pPr>
        <w:widowControl/>
        <w:numPr>
          <w:ilvl w:val="0"/>
          <w:numId w:val="3"/>
        </w:numPr>
        <w:adjustRightInd w:val="0"/>
        <w:snapToGrid w:val="0"/>
        <w:spacing w:line="400" w:lineRule="exact"/>
        <w:rPr>
          <w:rFonts w:eastAsia="仿宋"/>
          <w:szCs w:val="21"/>
        </w:rPr>
      </w:pPr>
      <w:r>
        <w:rPr>
          <w:rFonts w:eastAsia="仿宋"/>
          <w:szCs w:val="21"/>
        </w:rPr>
        <w:t>终身学习</w:t>
      </w:r>
      <w:r>
        <w:rPr>
          <w:rFonts w:hint="eastAsia" w:eastAsia="仿宋"/>
          <w:szCs w:val="21"/>
        </w:rPr>
        <w:t>：</w:t>
      </w:r>
      <w:r>
        <w:rPr>
          <w:rFonts w:eastAsia="仿宋"/>
          <w:szCs w:val="21"/>
        </w:rPr>
        <w:t>具有自主学习和终身学习的意识</w:t>
      </w:r>
      <w:r>
        <w:rPr>
          <w:rFonts w:hint="eastAsia" w:eastAsia="仿宋"/>
          <w:szCs w:val="21"/>
        </w:rPr>
        <w:t>，</w:t>
      </w:r>
      <w:r>
        <w:rPr>
          <w:rFonts w:eastAsia="仿宋"/>
          <w:szCs w:val="21"/>
        </w:rPr>
        <w:t>有不断学习和适应发展的能力</w:t>
      </w:r>
      <w:r>
        <w:rPr>
          <w:rFonts w:hint="eastAsia" w:eastAsia="仿宋"/>
          <w:szCs w:val="21"/>
        </w:rPr>
        <w:t>。</w:t>
      </w:r>
    </w:p>
    <w:p>
      <w:pPr>
        <w:spacing w:before="312" w:beforeLines="100"/>
        <w:ind w:left="420" w:leftChars="200"/>
        <w:rPr>
          <w:b/>
          <w:bCs/>
          <w:color w:val="000000"/>
          <w:sz w:val="28"/>
          <w:szCs w:val="28"/>
        </w:rPr>
      </w:pPr>
      <w:r>
        <w:rPr>
          <w:b/>
          <w:bCs/>
          <w:color w:val="000000"/>
          <w:sz w:val="28"/>
          <w:szCs w:val="28"/>
        </w:rPr>
        <w:t>三、专业核心课程</w:t>
      </w:r>
    </w:p>
    <w:p>
      <w:pPr>
        <w:ind w:firstLine="422" w:firstLineChars="200"/>
        <w:rPr>
          <w:rFonts w:ascii="仿宋" w:hAnsi="仿宋" w:eastAsia="仿宋"/>
          <w:b/>
          <w:bCs/>
        </w:rPr>
      </w:pPr>
      <w:r>
        <w:rPr>
          <w:rFonts w:hint="eastAsia" w:ascii="仿宋" w:hAnsi="仿宋" w:eastAsia="仿宋"/>
          <w:b/>
          <w:bCs/>
        </w:rPr>
        <w:t>数学和自然科学：</w:t>
      </w:r>
      <w:r>
        <w:rPr>
          <w:rFonts w:hint="eastAsia" w:ascii="仿宋" w:hAnsi="仿宋" w:eastAsia="仿宋"/>
          <w:bCs/>
        </w:rPr>
        <w:t>高等数学（1）、高等数学（2）、线性代数、大学物理（1）、大学物理（2）、大学物理实验（1）、概率论与数理统计、工程数学。</w:t>
      </w:r>
    </w:p>
    <w:p>
      <w:pPr>
        <w:ind w:firstLine="422" w:firstLineChars="200"/>
        <w:rPr>
          <w:rFonts w:ascii="仿宋" w:hAnsi="仿宋" w:eastAsia="仿宋"/>
          <w:bCs/>
        </w:rPr>
      </w:pPr>
      <w:r>
        <w:rPr>
          <w:rFonts w:hint="eastAsia" w:ascii="仿宋" w:hAnsi="仿宋" w:eastAsia="仿宋"/>
          <w:b/>
          <w:bCs/>
        </w:rPr>
        <w:t>专业基础</w:t>
      </w:r>
      <w:r>
        <w:rPr>
          <w:rFonts w:hint="eastAsia" w:ascii="仿宋" w:hAnsi="仿宋" w:eastAsia="仿宋"/>
          <w:bCs/>
        </w:rPr>
        <w:t>：电子信息技术导论、高级语言程序设计、电路基础、模拟电子技术、数字电路与逻辑设计、信号与系统、微机原理、工程电磁场、高频电子线路、通信原理、数字信号处理、数据结构、传感器原理及应用、计算机网络</w:t>
      </w:r>
    </w:p>
    <w:p>
      <w:pPr>
        <w:ind w:firstLine="422" w:firstLineChars="200"/>
        <w:rPr>
          <w:rFonts w:ascii="仿宋" w:hAnsi="仿宋" w:eastAsia="仿宋"/>
          <w:bCs/>
        </w:rPr>
      </w:pPr>
      <w:r>
        <w:rPr>
          <w:rFonts w:hint="eastAsia" w:ascii="仿宋" w:hAnsi="仿宋" w:eastAsia="仿宋"/>
          <w:b/>
          <w:bCs/>
        </w:rPr>
        <w:t>专业选修课程：</w:t>
      </w:r>
      <w:r>
        <w:rPr>
          <w:rFonts w:hint="eastAsia" w:ascii="仿宋" w:hAnsi="仿宋" w:eastAsia="仿宋"/>
          <w:bCs/>
        </w:rPr>
        <w:t>计算机实践基础、面向对象程序设计、Python程序设计、操作系统原理、工程制图与CAD、自动控制原理、计算机视觉及应用、数据库系统与应用、虚拟仪器技术、CMOS集成电路设计</w:t>
      </w:r>
    </w:p>
    <w:p>
      <w:pPr>
        <w:ind w:firstLine="422" w:firstLineChars="200"/>
        <w:rPr>
          <w:rFonts w:ascii="仿宋" w:hAnsi="仿宋" w:eastAsia="仿宋"/>
          <w:bCs/>
        </w:rPr>
      </w:pPr>
      <w:r>
        <w:rPr>
          <w:rFonts w:hint="eastAsia" w:ascii="仿宋" w:hAnsi="仿宋" w:eastAsia="仿宋"/>
          <w:b/>
          <w:bCs/>
        </w:rPr>
        <w:t>工程实践与毕业设计：</w:t>
      </w:r>
      <w:r>
        <w:rPr>
          <w:rFonts w:hint="eastAsia" w:ascii="仿宋" w:hAnsi="仿宋" w:eastAsia="仿宋"/>
          <w:bCs/>
        </w:rPr>
        <w:t>高级语言程序设计实践（1）、MATLAB语言实践、电子工艺设计与实训、电路与模拟电子技术实践、大学物理实验（2）、数字电路与逻辑设计实验、电子技术课程设计、微机原理与接口技术实践、通信原理与系统实验、嵌入式系统与应用实践、电气与控制系统设计实训、计算机网络实训、物联网技术及应用实践、电子综合设计与实训、企业家论坛、技术标准与设计案例、认识实习、工作实习、毕业设计</w:t>
      </w:r>
    </w:p>
    <w:p>
      <w:pPr>
        <w:spacing w:before="312" w:beforeLines="100"/>
        <w:rPr>
          <w:b/>
          <w:bCs/>
          <w:color w:val="000000"/>
          <w:sz w:val="28"/>
          <w:szCs w:val="28"/>
        </w:rPr>
      </w:pPr>
      <w:r>
        <w:rPr>
          <w:bCs/>
        </w:rPr>
        <w:t xml:space="preserve">  </w:t>
      </w:r>
      <w:r>
        <w:rPr>
          <w:b/>
          <w:bCs/>
          <w:color w:val="000000"/>
          <w:sz w:val="28"/>
          <w:szCs w:val="28"/>
        </w:rPr>
        <w:t xml:space="preserve">  四、主修专业毕业条件和学位授予</w:t>
      </w:r>
    </w:p>
    <w:p>
      <w:pPr>
        <w:spacing w:line="400" w:lineRule="exact"/>
        <w:jc w:val="center"/>
        <w:rPr>
          <w:b/>
          <w:sz w:val="24"/>
        </w:rPr>
      </w:pPr>
      <w:r>
        <w:rPr>
          <w:b/>
          <w:sz w:val="24"/>
        </w:rPr>
        <w:t>毕业学分结构表</w:t>
      </w:r>
    </w:p>
    <w:tbl>
      <w:tblPr>
        <w:tblStyle w:val="9"/>
        <w:tblW w:w="8336" w:type="dxa"/>
        <w:jc w:val="center"/>
        <w:tblLayout w:type="fixed"/>
        <w:tblCellMar>
          <w:top w:w="15" w:type="dxa"/>
          <w:left w:w="15" w:type="dxa"/>
          <w:bottom w:w="15" w:type="dxa"/>
          <w:right w:w="15" w:type="dxa"/>
        </w:tblCellMar>
      </w:tblPr>
      <w:tblGrid>
        <w:gridCol w:w="1042"/>
        <w:gridCol w:w="1042"/>
        <w:gridCol w:w="1042"/>
        <w:gridCol w:w="1042"/>
        <w:gridCol w:w="1042"/>
        <w:gridCol w:w="1042"/>
        <w:gridCol w:w="1042"/>
        <w:gridCol w:w="1042"/>
      </w:tblGrid>
      <w:tr>
        <w:tblPrEx>
          <w:tblCellMar>
            <w:top w:w="15" w:type="dxa"/>
            <w:left w:w="15" w:type="dxa"/>
            <w:bottom w:w="15" w:type="dxa"/>
            <w:right w:w="15" w:type="dxa"/>
          </w:tblCellMar>
        </w:tblPrEx>
        <w:trPr>
          <w:trHeight w:val="300" w:hRule="atLeast"/>
          <w:jc w:val="center"/>
        </w:trPr>
        <w:tc>
          <w:tcPr>
            <w:tcW w:w="1042"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楷体" w:hAnsi="楷体" w:eastAsia="楷体" w:cs="楷体"/>
                <w:b/>
                <w:color w:val="000000"/>
                <w:sz w:val="22"/>
              </w:rPr>
            </w:pPr>
            <w:r>
              <w:rPr>
                <w:rFonts w:hint="eastAsia" w:ascii="楷体" w:hAnsi="楷体" w:eastAsia="楷体" w:cs="楷体"/>
                <w:b/>
                <w:color w:val="000000"/>
                <w:kern w:val="0"/>
                <w:sz w:val="22"/>
                <w:lang w:bidi="ar"/>
              </w:rPr>
              <w:t>毕业总学分</w:t>
            </w:r>
          </w:p>
        </w:tc>
        <w:tc>
          <w:tcPr>
            <w:tcW w:w="312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楷体"/>
                <w:b/>
                <w:color w:val="000000"/>
                <w:kern w:val="0"/>
                <w:sz w:val="22"/>
                <w:lang w:bidi="ar"/>
              </w:rPr>
            </w:pPr>
            <w:r>
              <w:rPr>
                <w:rFonts w:hint="eastAsia" w:ascii="楷体" w:hAnsi="楷体" w:eastAsia="楷体" w:cs="楷体"/>
                <w:b/>
                <w:color w:val="000000"/>
                <w:kern w:val="0"/>
                <w:sz w:val="22"/>
                <w:lang w:bidi="ar"/>
              </w:rPr>
              <w:t>公共教育（53学分）</w:t>
            </w:r>
          </w:p>
        </w:tc>
        <w:tc>
          <w:tcPr>
            <w:tcW w:w="4168"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楷体" w:hAnsi="楷体" w:eastAsia="楷体" w:cs="楷体"/>
                <w:b/>
                <w:color w:val="000000"/>
                <w:sz w:val="22"/>
              </w:rPr>
            </w:pPr>
            <w:r>
              <w:rPr>
                <w:rFonts w:hint="eastAsia" w:ascii="楷体" w:hAnsi="楷体" w:eastAsia="楷体" w:cs="楷体"/>
                <w:b/>
                <w:color w:val="000000"/>
                <w:kern w:val="0"/>
                <w:sz w:val="22"/>
                <w:lang w:bidi="ar"/>
              </w:rPr>
              <w:t>专业教育（1</w:t>
            </w:r>
            <w:r>
              <w:rPr>
                <w:rFonts w:ascii="楷体" w:hAnsi="楷体" w:eastAsia="楷体" w:cs="楷体"/>
                <w:b/>
                <w:color w:val="000000"/>
                <w:kern w:val="0"/>
                <w:sz w:val="22"/>
                <w:lang w:bidi="ar"/>
              </w:rPr>
              <w:t>0</w:t>
            </w:r>
            <w:r>
              <w:rPr>
                <w:rFonts w:hint="eastAsia" w:ascii="楷体" w:hAnsi="楷体" w:eastAsia="楷体" w:cs="楷体"/>
                <w:b/>
                <w:color w:val="000000"/>
                <w:kern w:val="0"/>
                <w:sz w:val="22"/>
                <w:lang w:bidi="ar"/>
              </w:rPr>
              <w:t>3</w:t>
            </w:r>
            <w:r>
              <w:rPr>
                <w:rFonts w:ascii="楷体" w:hAnsi="楷体" w:eastAsia="楷体" w:cs="楷体"/>
                <w:b/>
                <w:color w:val="000000"/>
                <w:kern w:val="0"/>
                <w:sz w:val="22"/>
                <w:lang w:bidi="ar"/>
              </w:rPr>
              <w:t>学分</w:t>
            </w:r>
            <w:r>
              <w:rPr>
                <w:rFonts w:hint="eastAsia" w:ascii="楷体" w:hAnsi="楷体" w:eastAsia="楷体" w:cs="楷体"/>
                <w:b/>
                <w:color w:val="000000"/>
                <w:kern w:val="0"/>
                <w:sz w:val="22"/>
                <w:lang w:bidi="ar"/>
              </w:rPr>
              <w:t>）</w:t>
            </w:r>
          </w:p>
        </w:tc>
      </w:tr>
      <w:tr>
        <w:tblPrEx>
          <w:tblCellMar>
            <w:top w:w="15" w:type="dxa"/>
            <w:left w:w="15" w:type="dxa"/>
            <w:bottom w:w="15" w:type="dxa"/>
            <w:right w:w="15" w:type="dxa"/>
          </w:tblCellMar>
        </w:tblPrEx>
        <w:trPr>
          <w:trHeight w:val="1000" w:hRule="atLeast"/>
          <w:jc w:val="center"/>
        </w:trPr>
        <w:tc>
          <w:tcPr>
            <w:tcW w:w="1042" w:type="dxa"/>
            <w:vMerge w:val="continue"/>
            <w:tcBorders>
              <w:left w:val="single" w:color="000000" w:sz="4" w:space="0"/>
              <w:right w:val="single" w:color="000000" w:sz="4" w:space="0"/>
            </w:tcBorders>
            <w:vAlign w:val="center"/>
          </w:tcPr>
          <w:p>
            <w:pPr>
              <w:jc w:val="center"/>
              <w:rPr>
                <w:rFonts w:ascii="楷体" w:hAnsi="楷体" w:eastAsia="楷体" w:cs="楷体"/>
                <w:b/>
                <w:color w:val="000000"/>
                <w:sz w:val="22"/>
              </w:rPr>
            </w:pPr>
          </w:p>
        </w:tc>
        <w:tc>
          <w:tcPr>
            <w:tcW w:w="1042" w:type="dxa"/>
            <w:tcBorders>
              <w:top w:val="single" w:color="000000" w:sz="4" w:space="0"/>
              <w:left w:val="single" w:color="000000" w:sz="4" w:space="0"/>
              <w:right w:val="single" w:color="000000" w:sz="4" w:space="0"/>
            </w:tcBorders>
            <w:vAlign w:val="center"/>
          </w:tcPr>
          <w:p>
            <w:pPr>
              <w:widowControl/>
              <w:jc w:val="center"/>
              <w:textAlignment w:val="center"/>
              <w:rPr>
                <w:rFonts w:ascii="楷体" w:hAnsi="楷体" w:eastAsia="楷体" w:cs="楷体"/>
                <w:b/>
                <w:color w:val="000000"/>
                <w:sz w:val="22"/>
              </w:rPr>
            </w:pPr>
            <w:r>
              <w:rPr>
                <w:rFonts w:hint="eastAsia" w:ascii="楷体" w:hAnsi="楷体" w:eastAsia="楷体" w:cs="楷体"/>
                <w:b/>
                <w:color w:val="000000"/>
                <w:kern w:val="0"/>
                <w:sz w:val="22"/>
                <w:lang w:bidi="ar"/>
              </w:rPr>
              <w:t>公共必修</w:t>
            </w:r>
          </w:p>
        </w:tc>
        <w:tc>
          <w:tcPr>
            <w:tcW w:w="1042" w:type="dxa"/>
            <w:tcBorders>
              <w:top w:val="single" w:color="000000" w:sz="4" w:space="0"/>
              <w:left w:val="single" w:color="000000" w:sz="4" w:space="0"/>
              <w:right w:val="single" w:color="000000" w:sz="4" w:space="0"/>
            </w:tcBorders>
            <w:vAlign w:val="center"/>
          </w:tcPr>
          <w:p>
            <w:pPr>
              <w:widowControl/>
              <w:jc w:val="center"/>
              <w:textAlignment w:val="center"/>
              <w:rPr>
                <w:rFonts w:ascii="楷体" w:hAnsi="楷体" w:eastAsia="楷体" w:cs="楷体"/>
                <w:b/>
                <w:color w:val="000000"/>
                <w:sz w:val="22"/>
              </w:rPr>
            </w:pPr>
            <w:r>
              <w:rPr>
                <w:rFonts w:hint="eastAsia" w:ascii="楷体" w:hAnsi="楷体" w:eastAsia="楷体" w:cs="楷体"/>
                <w:b/>
                <w:color w:val="000000"/>
                <w:kern w:val="0"/>
                <w:sz w:val="22"/>
                <w:lang w:bidi="ar"/>
              </w:rPr>
              <w:t>公共选修</w:t>
            </w:r>
          </w:p>
        </w:tc>
        <w:tc>
          <w:tcPr>
            <w:tcW w:w="1042" w:type="dxa"/>
            <w:tcBorders>
              <w:top w:val="single" w:color="000000" w:sz="4" w:space="0"/>
              <w:left w:val="single" w:color="000000" w:sz="4" w:space="0"/>
              <w:right w:val="single" w:color="000000" w:sz="4" w:space="0"/>
            </w:tcBorders>
            <w:vAlign w:val="center"/>
          </w:tcPr>
          <w:p>
            <w:pPr>
              <w:jc w:val="center"/>
              <w:rPr>
                <w:rFonts w:ascii="楷体" w:hAnsi="楷体" w:eastAsia="楷体" w:cs="楷体"/>
                <w:b/>
                <w:color w:val="000000"/>
                <w:sz w:val="22"/>
              </w:rPr>
            </w:pPr>
            <w:r>
              <w:rPr>
                <w:rFonts w:hint="eastAsia" w:ascii="楷体" w:hAnsi="楷体" w:eastAsia="楷体" w:cs="楷体"/>
                <w:b/>
                <w:color w:val="000000"/>
                <w:sz w:val="22"/>
              </w:rPr>
              <w:t>成长必修</w:t>
            </w:r>
          </w:p>
        </w:tc>
        <w:tc>
          <w:tcPr>
            <w:tcW w:w="1042" w:type="dxa"/>
            <w:tcBorders>
              <w:top w:val="single" w:color="000000" w:sz="4" w:space="0"/>
              <w:left w:val="single" w:color="000000" w:sz="4" w:space="0"/>
              <w:right w:val="single" w:color="000000" w:sz="4" w:space="0"/>
            </w:tcBorders>
            <w:vAlign w:val="center"/>
          </w:tcPr>
          <w:p>
            <w:pPr>
              <w:jc w:val="center"/>
              <w:textAlignment w:val="center"/>
              <w:rPr>
                <w:rFonts w:ascii="楷体" w:hAnsi="楷体" w:eastAsia="楷体" w:cs="楷体"/>
                <w:b/>
                <w:color w:val="000000"/>
                <w:sz w:val="22"/>
              </w:rPr>
            </w:pPr>
            <w:r>
              <w:rPr>
                <w:rFonts w:hint="eastAsia" w:ascii="楷体" w:hAnsi="楷体" w:eastAsia="楷体" w:cs="楷体"/>
                <w:b/>
                <w:color w:val="000000"/>
                <w:kern w:val="0"/>
                <w:sz w:val="22"/>
                <w:lang w:bidi="ar"/>
              </w:rPr>
              <w:t>数学与自然科学</w:t>
            </w:r>
          </w:p>
        </w:tc>
        <w:tc>
          <w:tcPr>
            <w:tcW w:w="1042" w:type="dxa"/>
            <w:tcBorders>
              <w:top w:val="single" w:color="000000" w:sz="4" w:space="0"/>
              <w:left w:val="single" w:color="000000" w:sz="4" w:space="0"/>
              <w:right w:val="single" w:color="000000" w:sz="4" w:space="0"/>
            </w:tcBorders>
            <w:vAlign w:val="center"/>
          </w:tcPr>
          <w:p>
            <w:pPr>
              <w:jc w:val="center"/>
              <w:textAlignment w:val="center"/>
              <w:rPr>
                <w:rFonts w:ascii="楷体" w:hAnsi="楷体" w:eastAsia="楷体" w:cs="楷体"/>
                <w:b/>
                <w:color w:val="000000"/>
                <w:sz w:val="22"/>
              </w:rPr>
            </w:pPr>
            <w:r>
              <w:rPr>
                <w:rFonts w:hint="eastAsia" w:ascii="楷体" w:hAnsi="楷体" w:eastAsia="楷体" w:cs="楷体"/>
                <w:b/>
                <w:color w:val="000000"/>
                <w:kern w:val="0"/>
                <w:sz w:val="22"/>
                <w:lang w:bidi="ar"/>
              </w:rPr>
              <w:t>专业基础</w:t>
            </w:r>
          </w:p>
        </w:tc>
        <w:tc>
          <w:tcPr>
            <w:tcW w:w="1042" w:type="dxa"/>
            <w:tcBorders>
              <w:top w:val="single" w:color="000000" w:sz="4" w:space="0"/>
              <w:left w:val="single" w:color="000000" w:sz="4" w:space="0"/>
              <w:right w:val="single" w:color="000000" w:sz="4" w:space="0"/>
            </w:tcBorders>
            <w:vAlign w:val="center"/>
          </w:tcPr>
          <w:p>
            <w:pPr>
              <w:jc w:val="center"/>
              <w:textAlignment w:val="center"/>
              <w:rPr>
                <w:rFonts w:ascii="楷体" w:hAnsi="楷体" w:eastAsia="楷体" w:cs="楷体"/>
                <w:b/>
                <w:color w:val="000000"/>
                <w:sz w:val="22"/>
              </w:rPr>
            </w:pPr>
            <w:r>
              <w:rPr>
                <w:rFonts w:hint="eastAsia" w:ascii="楷体" w:hAnsi="楷体" w:eastAsia="楷体" w:cs="楷体"/>
                <w:b/>
                <w:color w:val="000000"/>
                <w:sz w:val="22"/>
              </w:rPr>
              <w:t>专业选修</w:t>
            </w:r>
          </w:p>
        </w:tc>
        <w:tc>
          <w:tcPr>
            <w:tcW w:w="1042" w:type="dxa"/>
            <w:tcBorders>
              <w:top w:val="single" w:color="000000" w:sz="4" w:space="0"/>
              <w:left w:val="single" w:color="000000" w:sz="4" w:space="0"/>
              <w:right w:val="single" w:color="000000" w:sz="4" w:space="0"/>
            </w:tcBorders>
            <w:vAlign w:val="center"/>
          </w:tcPr>
          <w:p>
            <w:pPr>
              <w:jc w:val="center"/>
              <w:rPr>
                <w:rFonts w:ascii="楷体" w:hAnsi="楷体" w:eastAsia="楷体" w:cs="楷体"/>
                <w:b/>
                <w:color w:val="000000"/>
                <w:sz w:val="22"/>
              </w:rPr>
            </w:pPr>
            <w:r>
              <w:rPr>
                <w:rFonts w:hint="eastAsia" w:ascii="楷体" w:hAnsi="楷体" w:eastAsia="楷体" w:cs="楷体"/>
                <w:b/>
                <w:color w:val="000000"/>
                <w:sz w:val="22"/>
              </w:rPr>
              <w:t>工程实践类</w:t>
            </w:r>
          </w:p>
        </w:tc>
      </w:tr>
      <w:tr>
        <w:tblPrEx>
          <w:tblCellMar>
            <w:top w:w="15" w:type="dxa"/>
            <w:left w:w="15" w:type="dxa"/>
            <w:bottom w:w="15" w:type="dxa"/>
            <w:right w:w="15" w:type="dxa"/>
          </w:tblCellMar>
        </w:tblPrEx>
        <w:trPr>
          <w:trHeight w:val="285" w:hRule="atLeast"/>
          <w:jc w:val="center"/>
        </w:trPr>
        <w:tc>
          <w:tcPr>
            <w:tcW w:w="1042" w:type="dxa"/>
            <w:tcBorders>
              <w:top w:val="single" w:color="000000" w:sz="4" w:space="0"/>
              <w:left w:val="single" w:color="000000" w:sz="4" w:space="0"/>
              <w:bottom w:val="single" w:color="000000" w:sz="4" w:space="0"/>
              <w:right w:val="single" w:color="000000" w:sz="4" w:space="0"/>
            </w:tcBorders>
            <w:vAlign w:val="center"/>
          </w:tcPr>
          <w:p>
            <w:pPr>
              <w:jc w:val="center"/>
              <w:rPr>
                <w:rFonts w:ascii="楷体" w:hAnsi="楷体" w:eastAsia="楷体" w:cs="楷体"/>
                <w:b/>
                <w:color w:val="000000"/>
                <w:sz w:val="22"/>
              </w:rPr>
            </w:pPr>
            <w:r>
              <w:rPr>
                <w:rFonts w:hint="eastAsia" w:ascii="楷体" w:hAnsi="楷体" w:eastAsia="楷体" w:cs="楷体"/>
                <w:b/>
                <w:color w:val="000000"/>
                <w:sz w:val="22"/>
              </w:rPr>
              <w:t>1</w:t>
            </w:r>
            <w:r>
              <w:rPr>
                <w:rFonts w:ascii="楷体" w:hAnsi="楷体" w:eastAsia="楷体" w:cs="楷体"/>
                <w:b/>
                <w:color w:val="000000"/>
                <w:sz w:val="22"/>
              </w:rPr>
              <w:t>56</w:t>
            </w:r>
          </w:p>
        </w:tc>
        <w:tc>
          <w:tcPr>
            <w:tcW w:w="1042" w:type="dxa"/>
            <w:tcBorders>
              <w:top w:val="single" w:color="000000" w:sz="4" w:space="0"/>
              <w:left w:val="single" w:color="000000" w:sz="4" w:space="0"/>
              <w:bottom w:val="single" w:color="000000" w:sz="4" w:space="0"/>
              <w:right w:val="single" w:color="000000" w:sz="4" w:space="0"/>
            </w:tcBorders>
            <w:vAlign w:val="center"/>
          </w:tcPr>
          <w:p>
            <w:pPr>
              <w:jc w:val="center"/>
              <w:rPr>
                <w:b/>
                <w:color w:val="000000"/>
                <w:sz w:val="22"/>
              </w:rPr>
            </w:pPr>
            <w:r>
              <w:rPr>
                <w:rFonts w:hint="eastAsia"/>
                <w:b/>
                <w:color w:val="000000"/>
                <w:sz w:val="22"/>
              </w:rPr>
              <w:t>3</w:t>
            </w:r>
            <w:r>
              <w:rPr>
                <w:b/>
                <w:color w:val="000000"/>
                <w:sz w:val="22"/>
              </w:rPr>
              <w:t>2</w:t>
            </w:r>
          </w:p>
        </w:tc>
        <w:tc>
          <w:tcPr>
            <w:tcW w:w="1042" w:type="dxa"/>
            <w:tcBorders>
              <w:top w:val="single" w:color="000000" w:sz="4" w:space="0"/>
              <w:left w:val="single" w:color="000000" w:sz="4" w:space="0"/>
              <w:bottom w:val="single" w:color="000000" w:sz="4" w:space="0"/>
              <w:right w:val="single" w:color="000000" w:sz="4" w:space="0"/>
            </w:tcBorders>
            <w:vAlign w:val="center"/>
          </w:tcPr>
          <w:p>
            <w:pPr>
              <w:jc w:val="center"/>
              <w:rPr>
                <w:b/>
                <w:color w:val="000000"/>
                <w:sz w:val="22"/>
              </w:rPr>
            </w:pPr>
            <w:r>
              <w:rPr>
                <w:rFonts w:hint="eastAsia"/>
                <w:b/>
                <w:color w:val="000000"/>
                <w:sz w:val="22"/>
              </w:rPr>
              <w:t>12</w:t>
            </w:r>
          </w:p>
        </w:tc>
        <w:tc>
          <w:tcPr>
            <w:tcW w:w="1042" w:type="dxa"/>
            <w:tcBorders>
              <w:top w:val="single" w:color="000000" w:sz="4" w:space="0"/>
              <w:left w:val="single" w:color="000000" w:sz="4" w:space="0"/>
              <w:bottom w:val="single" w:color="000000" w:sz="4" w:space="0"/>
              <w:right w:val="single" w:color="000000" w:sz="4" w:space="0"/>
            </w:tcBorders>
            <w:vAlign w:val="center"/>
          </w:tcPr>
          <w:p>
            <w:pPr>
              <w:jc w:val="center"/>
              <w:rPr>
                <w:b/>
                <w:color w:val="000000"/>
                <w:sz w:val="22"/>
              </w:rPr>
            </w:pPr>
            <w:r>
              <w:rPr>
                <w:rFonts w:hint="eastAsia"/>
                <w:b/>
                <w:color w:val="000000"/>
                <w:sz w:val="22"/>
              </w:rPr>
              <w:t>9</w:t>
            </w:r>
          </w:p>
        </w:tc>
        <w:tc>
          <w:tcPr>
            <w:tcW w:w="1042" w:type="dxa"/>
            <w:tcBorders>
              <w:top w:val="single" w:color="000000" w:sz="4" w:space="0"/>
              <w:left w:val="single" w:color="000000" w:sz="4" w:space="0"/>
              <w:bottom w:val="single" w:color="000000" w:sz="4" w:space="0"/>
              <w:right w:val="single" w:color="000000" w:sz="4" w:space="0"/>
            </w:tcBorders>
            <w:vAlign w:val="center"/>
          </w:tcPr>
          <w:p>
            <w:pPr>
              <w:jc w:val="center"/>
              <w:rPr>
                <w:b/>
                <w:color w:val="000000"/>
                <w:sz w:val="22"/>
              </w:rPr>
            </w:pPr>
            <w:r>
              <w:rPr>
                <w:rFonts w:hint="eastAsia"/>
                <w:b/>
                <w:color w:val="000000"/>
                <w:sz w:val="22"/>
              </w:rPr>
              <w:t>2</w:t>
            </w:r>
            <w:r>
              <w:rPr>
                <w:b/>
                <w:color w:val="000000"/>
                <w:sz w:val="22"/>
              </w:rPr>
              <w:t>4</w:t>
            </w:r>
          </w:p>
        </w:tc>
        <w:tc>
          <w:tcPr>
            <w:tcW w:w="1042" w:type="dxa"/>
            <w:tcBorders>
              <w:top w:val="single" w:color="000000" w:sz="4" w:space="0"/>
              <w:left w:val="single" w:color="000000" w:sz="4" w:space="0"/>
              <w:bottom w:val="single" w:color="000000" w:sz="4" w:space="0"/>
              <w:right w:val="single" w:color="000000" w:sz="4" w:space="0"/>
            </w:tcBorders>
            <w:vAlign w:val="center"/>
          </w:tcPr>
          <w:p>
            <w:pPr>
              <w:jc w:val="center"/>
              <w:rPr>
                <w:b/>
                <w:color w:val="000000"/>
                <w:sz w:val="22"/>
              </w:rPr>
            </w:pPr>
            <w:r>
              <w:rPr>
                <w:rFonts w:hint="eastAsia"/>
                <w:b/>
                <w:color w:val="000000"/>
                <w:sz w:val="22"/>
              </w:rPr>
              <w:t>35</w:t>
            </w:r>
          </w:p>
        </w:tc>
        <w:tc>
          <w:tcPr>
            <w:tcW w:w="1042" w:type="dxa"/>
            <w:tcBorders>
              <w:top w:val="single" w:color="000000" w:sz="4" w:space="0"/>
              <w:left w:val="single" w:color="000000" w:sz="4" w:space="0"/>
              <w:bottom w:val="single" w:color="000000" w:sz="4" w:space="0"/>
              <w:right w:val="single" w:color="000000" w:sz="4" w:space="0"/>
            </w:tcBorders>
            <w:vAlign w:val="center"/>
          </w:tcPr>
          <w:p>
            <w:pPr>
              <w:jc w:val="center"/>
              <w:rPr>
                <w:b/>
                <w:color w:val="000000"/>
                <w:sz w:val="22"/>
              </w:rPr>
            </w:pPr>
            <w:r>
              <w:rPr>
                <w:rFonts w:hint="eastAsia"/>
                <w:b/>
                <w:color w:val="000000"/>
                <w:sz w:val="22"/>
              </w:rPr>
              <w:t>12</w:t>
            </w:r>
          </w:p>
        </w:tc>
        <w:tc>
          <w:tcPr>
            <w:tcW w:w="1042" w:type="dxa"/>
            <w:tcBorders>
              <w:top w:val="single" w:color="000000" w:sz="4" w:space="0"/>
              <w:left w:val="single" w:color="000000" w:sz="4" w:space="0"/>
              <w:bottom w:val="single" w:color="000000" w:sz="4" w:space="0"/>
              <w:right w:val="single" w:color="000000" w:sz="4" w:space="0"/>
            </w:tcBorders>
            <w:vAlign w:val="center"/>
          </w:tcPr>
          <w:p>
            <w:pPr>
              <w:jc w:val="center"/>
              <w:rPr>
                <w:b/>
                <w:color w:val="000000"/>
                <w:sz w:val="22"/>
              </w:rPr>
            </w:pPr>
            <w:r>
              <w:rPr>
                <w:rFonts w:hint="eastAsia"/>
                <w:b/>
                <w:color w:val="000000"/>
                <w:sz w:val="22"/>
              </w:rPr>
              <w:t>32</w:t>
            </w:r>
          </w:p>
        </w:tc>
      </w:tr>
    </w:tbl>
    <w:p>
      <w:pPr>
        <w:spacing w:line="400" w:lineRule="exact"/>
        <w:jc w:val="center"/>
        <w:rPr>
          <w:b/>
          <w:sz w:val="24"/>
        </w:rPr>
      </w:pPr>
    </w:p>
    <w:p>
      <w:pPr>
        <w:spacing w:line="400" w:lineRule="exact"/>
        <w:rPr>
          <w:rFonts w:eastAsia="仿宋"/>
          <w:b/>
          <w:bCs/>
          <w:color w:val="000000"/>
          <w:szCs w:val="21"/>
        </w:rPr>
      </w:pPr>
      <w:r>
        <w:rPr>
          <w:rFonts w:eastAsia="仿宋"/>
          <w:b/>
          <w:bCs/>
          <w:color w:val="000000"/>
          <w:szCs w:val="21"/>
        </w:rPr>
        <w:t>备注：该学分结构表显示了本专业学生毕业的最低</w:t>
      </w:r>
      <w:r>
        <w:rPr>
          <w:rFonts w:hint="eastAsia" w:eastAsia="仿宋"/>
          <w:b/>
          <w:bCs/>
          <w:color w:val="000000"/>
          <w:szCs w:val="21"/>
        </w:rPr>
        <w:t>修读</w:t>
      </w:r>
      <w:r>
        <w:rPr>
          <w:rFonts w:eastAsia="仿宋"/>
          <w:b/>
          <w:bCs/>
          <w:color w:val="000000"/>
          <w:szCs w:val="21"/>
        </w:rPr>
        <w:t>总学分要求和各</w:t>
      </w:r>
      <w:r>
        <w:rPr>
          <w:rFonts w:hint="eastAsia" w:eastAsia="仿宋"/>
          <w:b/>
          <w:bCs/>
          <w:color w:val="000000"/>
          <w:szCs w:val="21"/>
        </w:rPr>
        <w:t>类课程</w:t>
      </w:r>
      <w:r>
        <w:rPr>
          <w:rFonts w:eastAsia="仿宋"/>
          <w:b/>
          <w:bCs/>
          <w:color w:val="000000"/>
          <w:szCs w:val="21"/>
        </w:rPr>
        <w:t>下的</w:t>
      </w:r>
      <w:r>
        <w:rPr>
          <w:rFonts w:hint="eastAsia" w:eastAsia="仿宋"/>
          <w:b/>
          <w:bCs/>
          <w:color w:val="000000"/>
          <w:szCs w:val="21"/>
        </w:rPr>
        <w:t>最低修读</w:t>
      </w:r>
      <w:r>
        <w:rPr>
          <w:rFonts w:eastAsia="仿宋"/>
          <w:b/>
          <w:bCs/>
          <w:color w:val="000000"/>
          <w:szCs w:val="21"/>
        </w:rPr>
        <w:t>学分组成</w:t>
      </w:r>
      <w:r>
        <w:rPr>
          <w:rFonts w:hint="eastAsia" w:eastAsia="仿宋"/>
          <w:b/>
          <w:bCs/>
          <w:color w:val="000000"/>
          <w:szCs w:val="21"/>
        </w:rPr>
        <w:t>。</w:t>
      </w:r>
    </w:p>
    <w:p>
      <w:pPr>
        <w:spacing w:before="156" w:beforeLines="50" w:line="400" w:lineRule="exact"/>
        <w:ind w:firstLine="482" w:firstLineChars="200"/>
        <w:rPr>
          <w:rFonts w:eastAsia="仿宋"/>
          <w:b/>
          <w:bCs/>
          <w:color w:val="000000"/>
          <w:sz w:val="28"/>
          <w:szCs w:val="28"/>
        </w:rPr>
      </w:pPr>
      <w:r>
        <w:rPr>
          <w:rFonts w:eastAsia="仿宋"/>
          <w:b/>
          <w:bCs/>
          <w:color w:val="000000"/>
          <w:sz w:val="24"/>
        </w:rPr>
        <w:t>（一）毕业条件</w:t>
      </w:r>
    </w:p>
    <w:p>
      <w:pPr>
        <w:spacing w:line="400" w:lineRule="exact"/>
        <w:ind w:firstLine="420" w:firstLineChars="200"/>
        <w:rPr>
          <w:color w:val="000000"/>
          <w:szCs w:val="21"/>
        </w:rPr>
      </w:pPr>
      <w:r>
        <w:rPr>
          <w:color w:val="000000"/>
          <w:szCs w:val="21"/>
        </w:rPr>
        <w:t>学生申请以</w:t>
      </w:r>
      <w:r>
        <w:rPr>
          <w:rFonts w:hint="eastAsia"/>
          <w:color w:val="000000"/>
          <w:szCs w:val="21"/>
        </w:rPr>
        <w:t>电子信息科学与技术专业</w:t>
      </w:r>
      <w:r>
        <w:rPr>
          <w:color w:val="000000"/>
          <w:szCs w:val="21"/>
        </w:rPr>
        <w:t>毕业，须符合以下全部条件后，才准予毕业，并发给毕业证书：</w:t>
      </w:r>
    </w:p>
    <w:p>
      <w:pPr>
        <w:spacing w:line="400" w:lineRule="exact"/>
        <w:ind w:firstLine="420" w:firstLineChars="200"/>
        <w:rPr>
          <w:color w:val="000000"/>
          <w:szCs w:val="21"/>
        </w:rPr>
      </w:pPr>
      <w:r>
        <w:rPr>
          <w:color w:val="000000"/>
          <w:szCs w:val="21"/>
        </w:rPr>
        <w:t>1.在学院允许的学习年限内，即3~7年。</w:t>
      </w:r>
    </w:p>
    <w:p>
      <w:pPr>
        <w:spacing w:line="400" w:lineRule="exact"/>
        <w:ind w:firstLine="420" w:firstLineChars="200"/>
        <w:rPr>
          <w:color w:val="000000"/>
          <w:szCs w:val="21"/>
        </w:rPr>
      </w:pPr>
      <w:r>
        <w:rPr>
          <w:color w:val="000000"/>
          <w:szCs w:val="21"/>
        </w:rPr>
        <w:t>2.取得</w:t>
      </w:r>
      <w:r>
        <w:rPr>
          <w:rFonts w:hint="eastAsia"/>
          <w:color w:val="000000"/>
          <w:szCs w:val="21"/>
        </w:rPr>
        <w:t>电子信息科学与技术专业</w:t>
      </w:r>
      <w:r>
        <w:rPr>
          <w:color w:val="000000"/>
          <w:szCs w:val="21"/>
        </w:rPr>
        <w:t>规定的最低毕业总学分（</w:t>
      </w:r>
      <w:r>
        <w:rPr>
          <w:rFonts w:hint="eastAsia"/>
          <w:color w:val="000000"/>
          <w:szCs w:val="21"/>
        </w:rPr>
        <w:t>1</w:t>
      </w:r>
      <w:r>
        <w:rPr>
          <w:color w:val="000000"/>
          <w:szCs w:val="21"/>
        </w:rPr>
        <w:t>56）学分</w:t>
      </w:r>
      <w:r>
        <w:rPr>
          <w:rFonts w:hint="eastAsia"/>
          <w:color w:val="000000"/>
          <w:szCs w:val="21"/>
        </w:rPr>
        <w:t>，其中：</w:t>
      </w:r>
    </w:p>
    <w:p>
      <w:pPr>
        <w:spacing w:line="400" w:lineRule="exact"/>
        <w:ind w:firstLine="420" w:firstLineChars="200"/>
        <w:rPr>
          <w:bCs/>
          <w:color w:val="FF0000"/>
          <w:szCs w:val="21"/>
        </w:rPr>
      </w:pPr>
      <w:r>
        <w:rPr>
          <w:color w:val="000000"/>
          <w:szCs w:val="21"/>
        </w:rPr>
        <w:t>公共教育类包含</w:t>
      </w:r>
      <w:r>
        <w:rPr>
          <w:rFonts w:hint="eastAsia"/>
          <w:color w:val="000000"/>
          <w:szCs w:val="21"/>
        </w:rPr>
        <w:t>：</w:t>
      </w:r>
      <w:r>
        <w:rPr>
          <w:color w:val="000000"/>
          <w:szCs w:val="21"/>
        </w:rPr>
        <w:t>公共必修课（</w:t>
      </w:r>
      <w:r>
        <w:rPr>
          <w:rFonts w:hint="eastAsia"/>
          <w:color w:val="000000"/>
          <w:szCs w:val="21"/>
        </w:rPr>
        <w:t>3</w:t>
      </w:r>
      <w:r>
        <w:rPr>
          <w:color w:val="000000"/>
          <w:szCs w:val="21"/>
        </w:rPr>
        <w:t>2）学分</w:t>
      </w:r>
      <w:r>
        <w:rPr>
          <w:rFonts w:hint="eastAsia"/>
          <w:color w:val="000000"/>
          <w:szCs w:val="21"/>
        </w:rPr>
        <w:t>、</w:t>
      </w:r>
      <w:r>
        <w:rPr>
          <w:color w:val="000000"/>
          <w:szCs w:val="21"/>
        </w:rPr>
        <w:t>公共</w:t>
      </w:r>
      <w:r>
        <w:rPr>
          <w:rFonts w:hint="eastAsia"/>
          <w:color w:val="000000"/>
          <w:szCs w:val="21"/>
        </w:rPr>
        <w:t>选修</w:t>
      </w:r>
      <w:r>
        <w:rPr>
          <w:color w:val="000000"/>
          <w:szCs w:val="21"/>
        </w:rPr>
        <w:t>课（</w:t>
      </w:r>
      <w:r>
        <w:rPr>
          <w:rFonts w:hint="eastAsia"/>
          <w:color w:val="000000"/>
          <w:szCs w:val="21"/>
        </w:rPr>
        <w:t>12</w:t>
      </w:r>
      <w:r>
        <w:rPr>
          <w:color w:val="000000"/>
          <w:szCs w:val="21"/>
        </w:rPr>
        <w:t>）</w:t>
      </w:r>
      <w:r>
        <w:rPr>
          <w:bCs/>
          <w:color w:val="000000"/>
          <w:szCs w:val="21"/>
        </w:rPr>
        <w:t>学</w:t>
      </w:r>
      <w:r>
        <w:rPr>
          <w:color w:val="000000"/>
          <w:szCs w:val="21"/>
        </w:rPr>
        <w:t>分</w:t>
      </w:r>
      <w:r>
        <w:rPr>
          <w:rFonts w:hint="eastAsia"/>
          <w:color w:val="000000"/>
          <w:szCs w:val="21"/>
        </w:rPr>
        <w:t>、成长必修课</w:t>
      </w:r>
      <w:r>
        <w:rPr>
          <w:rFonts w:hint="eastAsia"/>
          <w:bCs/>
          <w:color w:val="000000"/>
          <w:szCs w:val="21"/>
        </w:rPr>
        <w:t>（9）学分；专业教育类包含：</w:t>
      </w:r>
      <w:r>
        <w:rPr>
          <w:rFonts w:hint="eastAsia"/>
          <w:color w:val="000000"/>
          <w:szCs w:val="21"/>
        </w:rPr>
        <w:t>数学与自然科学课（24）学分，专业基础课（35）学分，专业选修课（12）学分、工程实践及毕业设计课（32）学分，其中，认识实习1学分，工作实习2学分，毕业设计8学分。</w:t>
      </w:r>
    </w:p>
    <w:p>
      <w:pPr>
        <w:spacing w:before="156" w:beforeLines="50" w:line="400" w:lineRule="exact"/>
        <w:rPr>
          <w:rFonts w:eastAsia="仿宋"/>
          <w:b/>
          <w:bCs/>
          <w:color w:val="000000"/>
          <w:sz w:val="28"/>
          <w:szCs w:val="28"/>
        </w:rPr>
      </w:pPr>
      <w:r>
        <w:rPr>
          <w:rFonts w:eastAsia="仿宋"/>
          <w:b/>
          <w:bCs/>
          <w:color w:val="000000"/>
          <w:sz w:val="28"/>
          <w:szCs w:val="28"/>
        </w:rPr>
        <w:t xml:space="preserve">    </w:t>
      </w:r>
      <w:r>
        <w:rPr>
          <w:rFonts w:eastAsia="仿宋"/>
          <w:b/>
          <w:bCs/>
          <w:color w:val="000000"/>
          <w:sz w:val="24"/>
        </w:rPr>
        <w:t>（二）获得学位</w:t>
      </w:r>
    </w:p>
    <w:p>
      <w:pPr>
        <w:spacing w:line="400" w:lineRule="exact"/>
        <w:ind w:firstLine="420" w:firstLineChars="200"/>
        <w:rPr>
          <w:rFonts w:eastAsia="仿宋"/>
          <w:color w:val="000000"/>
          <w:sz w:val="28"/>
          <w:szCs w:val="28"/>
        </w:rPr>
      </w:pPr>
      <w:r>
        <w:rPr>
          <w:color w:val="000000"/>
          <w:szCs w:val="21"/>
        </w:rPr>
        <w:t>普通全日制本科生在取得毕业资格的前提下，按现行的绩点制，其必修课、专业选修课的平均学分绩点达到</w:t>
      </w:r>
      <w:r>
        <w:rPr>
          <w:rFonts w:hint="eastAsia"/>
          <w:color w:val="000000"/>
          <w:szCs w:val="21"/>
        </w:rPr>
        <w:t>2</w:t>
      </w:r>
      <w:r>
        <w:rPr>
          <w:color w:val="000000"/>
          <w:szCs w:val="21"/>
        </w:rPr>
        <w:t>.</w:t>
      </w:r>
      <w:r>
        <w:rPr>
          <w:rFonts w:hint="eastAsia"/>
          <w:color w:val="000000"/>
          <w:szCs w:val="21"/>
        </w:rPr>
        <w:t>0</w:t>
      </w:r>
      <w:r>
        <w:rPr>
          <w:color w:val="000000"/>
          <w:szCs w:val="21"/>
        </w:rPr>
        <w:t>及以上者，可授予</w:t>
      </w:r>
      <w:r>
        <w:rPr>
          <w:rFonts w:hint="eastAsia"/>
          <w:color w:val="000000"/>
          <w:szCs w:val="21"/>
          <w:lang w:val="en-US" w:eastAsia="zh-CN"/>
        </w:rPr>
        <w:t>理</w:t>
      </w:r>
      <w:r>
        <w:rPr>
          <w:rFonts w:hint="eastAsia"/>
          <w:color w:val="000000"/>
          <w:szCs w:val="21"/>
        </w:rPr>
        <w:t>学</w:t>
      </w:r>
      <w:r>
        <w:rPr>
          <w:color w:val="000000"/>
          <w:szCs w:val="21"/>
        </w:rPr>
        <w:t>学士学位。</w:t>
      </w:r>
      <w:bookmarkStart w:id="0" w:name="_GoBack"/>
      <w:bookmarkEnd w:id="0"/>
    </w:p>
    <w:p>
      <w:pPr>
        <w:spacing w:before="312" w:beforeLines="100"/>
        <w:ind w:left="420" w:leftChars="200"/>
        <w:rPr>
          <w:b/>
          <w:bCs/>
          <w:color w:val="000000"/>
          <w:sz w:val="28"/>
          <w:szCs w:val="28"/>
        </w:rPr>
      </w:pPr>
      <w:r>
        <w:rPr>
          <w:b/>
          <w:bCs/>
          <w:color w:val="000000"/>
          <w:sz w:val="28"/>
          <w:szCs w:val="28"/>
        </w:rPr>
        <w:t>五、公共教育课程计划进程表</w:t>
      </w:r>
    </w:p>
    <w:p>
      <w:pPr>
        <w:spacing w:line="400" w:lineRule="exact"/>
        <w:ind w:firstLine="482" w:firstLineChars="200"/>
        <w:rPr>
          <w:rFonts w:eastAsia="仿宋"/>
          <w:b/>
          <w:bCs/>
          <w:color w:val="000000"/>
          <w:sz w:val="24"/>
        </w:rPr>
      </w:pPr>
      <w:r>
        <w:rPr>
          <w:rFonts w:eastAsia="仿宋"/>
          <w:b/>
          <w:bCs/>
          <w:color w:val="000000"/>
          <w:sz w:val="24"/>
        </w:rPr>
        <w:t>请详见附表一。</w:t>
      </w:r>
    </w:p>
    <w:p>
      <w:pPr>
        <w:spacing w:before="312" w:beforeLines="100"/>
        <w:ind w:left="420" w:leftChars="200"/>
        <w:rPr>
          <w:b/>
          <w:bCs/>
          <w:color w:val="000000"/>
          <w:sz w:val="28"/>
          <w:szCs w:val="28"/>
        </w:rPr>
      </w:pPr>
      <w:r>
        <w:rPr>
          <w:b/>
          <w:bCs/>
          <w:color w:val="000000"/>
          <w:sz w:val="28"/>
          <w:szCs w:val="28"/>
        </w:rPr>
        <w:t>六、专业教育课程计划进程表</w:t>
      </w:r>
    </w:p>
    <w:p>
      <w:pPr>
        <w:spacing w:line="400" w:lineRule="exact"/>
        <w:ind w:firstLine="482" w:firstLineChars="200"/>
        <w:rPr>
          <w:rFonts w:eastAsia="仿宋"/>
          <w:b/>
          <w:bCs/>
          <w:color w:val="000000"/>
          <w:sz w:val="24"/>
        </w:rPr>
      </w:pPr>
      <w:r>
        <w:rPr>
          <w:rFonts w:eastAsia="仿宋"/>
          <w:b/>
          <w:bCs/>
          <w:color w:val="000000"/>
          <w:sz w:val="24"/>
        </w:rPr>
        <w:t>请详见附表二。</w:t>
      </w:r>
    </w:p>
    <w:p>
      <w:pPr>
        <w:spacing w:before="312" w:beforeLines="100"/>
        <w:ind w:left="420" w:leftChars="200"/>
        <w:rPr>
          <w:b/>
          <w:bCs/>
          <w:color w:val="000000"/>
          <w:sz w:val="28"/>
          <w:szCs w:val="28"/>
        </w:rPr>
      </w:pPr>
      <w:r>
        <w:rPr>
          <w:rFonts w:hint="eastAsia"/>
          <w:b/>
          <w:bCs/>
          <w:color w:val="000000"/>
          <w:sz w:val="28"/>
          <w:szCs w:val="28"/>
        </w:rPr>
        <w:t>八</w:t>
      </w:r>
      <w:r>
        <w:rPr>
          <w:b/>
          <w:bCs/>
          <w:color w:val="000000"/>
          <w:sz w:val="28"/>
          <w:szCs w:val="28"/>
        </w:rPr>
        <w:t>、各学期</w:t>
      </w:r>
      <w:r>
        <w:rPr>
          <w:rFonts w:hint="eastAsia"/>
          <w:b/>
          <w:bCs/>
          <w:color w:val="000000"/>
          <w:sz w:val="28"/>
          <w:szCs w:val="28"/>
        </w:rPr>
        <w:t>学分</w:t>
      </w:r>
      <w:r>
        <w:rPr>
          <w:b/>
          <w:bCs/>
          <w:color w:val="000000"/>
          <w:sz w:val="28"/>
          <w:szCs w:val="28"/>
        </w:rPr>
        <w:t>分配表</w:t>
      </w:r>
    </w:p>
    <w:p>
      <w:pPr>
        <w:spacing w:line="400" w:lineRule="exact"/>
        <w:ind w:firstLine="482" w:firstLineChars="200"/>
        <w:rPr>
          <w:rFonts w:eastAsia="仿宋"/>
          <w:b/>
          <w:bCs/>
          <w:color w:val="000000"/>
          <w:sz w:val="24"/>
        </w:rPr>
      </w:pPr>
      <w:r>
        <w:rPr>
          <w:rFonts w:eastAsia="仿宋"/>
          <w:b/>
          <w:bCs/>
          <w:color w:val="000000"/>
          <w:sz w:val="24"/>
        </w:rPr>
        <w:t>请详见附表</w:t>
      </w:r>
      <w:r>
        <w:rPr>
          <w:rFonts w:hint="eastAsia" w:eastAsia="仿宋"/>
          <w:b/>
          <w:bCs/>
          <w:color w:val="000000"/>
          <w:sz w:val="24"/>
        </w:rPr>
        <w:t>三</w:t>
      </w:r>
      <w:r>
        <w:rPr>
          <w:rFonts w:eastAsia="仿宋"/>
          <w:b/>
          <w:bCs/>
          <w:color w:val="000000"/>
          <w:sz w:val="24"/>
        </w:rPr>
        <w:t>。</w:t>
      </w:r>
    </w:p>
    <w:p>
      <w:pPr>
        <w:spacing w:before="312" w:beforeLines="100"/>
        <w:ind w:left="420" w:leftChars="200"/>
        <w:rPr>
          <w:b/>
          <w:bCs/>
          <w:color w:val="000000"/>
          <w:sz w:val="28"/>
          <w:szCs w:val="28"/>
        </w:rPr>
      </w:pPr>
      <w:r>
        <w:rPr>
          <w:rFonts w:hint="eastAsia"/>
          <w:b/>
          <w:bCs/>
          <w:color w:val="000000"/>
          <w:sz w:val="28"/>
          <w:szCs w:val="28"/>
        </w:rPr>
        <w:t>九</w:t>
      </w:r>
      <w:r>
        <w:rPr>
          <w:b/>
          <w:bCs/>
          <w:color w:val="000000"/>
          <w:sz w:val="28"/>
          <w:szCs w:val="28"/>
        </w:rPr>
        <w:t>、</w:t>
      </w:r>
      <w:r>
        <w:rPr>
          <w:rFonts w:hint="eastAsia"/>
          <w:b/>
          <w:bCs/>
          <w:color w:val="000000"/>
          <w:sz w:val="28"/>
          <w:szCs w:val="28"/>
        </w:rPr>
        <w:t>理论、实践教学学时占比一览</w:t>
      </w:r>
      <w:r>
        <w:rPr>
          <w:b/>
          <w:bCs/>
          <w:color w:val="000000"/>
          <w:sz w:val="28"/>
          <w:szCs w:val="28"/>
        </w:rPr>
        <w:t>表</w:t>
      </w:r>
    </w:p>
    <w:p>
      <w:pPr>
        <w:spacing w:line="400" w:lineRule="exact"/>
        <w:ind w:firstLine="482" w:firstLineChars="200"/>
        <w:rPr>
          <w:rFonts w:eastAsia="仿宋"/>
          <w:b/>
          <w:bCs/>
          <w:color w:val="000000"/>
          <w:sz w:val="24"/>
        </w:rPr>
      </w:pPr>
      <w:r>
        <w:rPr>
          <w:rFonts w:eastAsia="仿宋"/>
          <w:b/>
          <w:bCs/>
          <w:color w:val="000000"/>
          <w:sz w:val="24"/>
        </w:rPr>
        <w:t>请详见附表</w:t>
      </w:r>
      <w:r>
        <w:rPr>
          <w:rFonts w:hint="eastAsia" w:eastAsia="仿宋"/>
          <w:b/>
          <w:bCs/>
          <w:color w:val="000000"/>
          <w:sz w:val="24"/>
        </w:rPr>
        <w:t>四</w:t>
      </w:r>
      <w:r>
        <w:rPr>
          <w:rFonts w:eastAsia="仿宋"/>
          <w:b/>
          <w:bCs/>
          <w:color w:val="000000"/>
          <w:sz w:val="24"/>
        </w:rPr>
        <w:t>。</w:t>
      </w:r>
    </w:p>
    <w:p>
      <w:pPr>
        <w:spacing w:before="312" w:beforeLines="100"/>
        <w:ind w:left="420" w:leftChars="200"/>
        <w:rPr>
          <w:b/>
          <w:bCs/>
          <w:color w:val="000000"/>
          <w:sz w:val="28"/>
          <w:szCs w:val="28"/>
        </w:rPr>
      </w:pPr>
      <w:r>
        <w:rPr>
          <w:rFonts w:hint="eastAsia"/>
          <w:b/>
          <w:bCs/>
          <w:color w:val="000000"/>
          <w:sz w:val="28"/>
          <w:szCs w:val="28"/>
        </w:rPr>
        <w:t>十</w:t>
      </w:r>
      <w:r>
        <w:rPr>
          <w:b/>
          <w:bCs/>
          <w:color w:val="000000"/>
          <w:sz w:val="28"/>
          <w:szCs w:val="28"/>
        </w:rPr>
        <w:t>、</w:t>
      </w:r>
      <w:r>
        <w:rPr>
          <w:rFonts w:hint="eastAsia"/>
          <w:b/>
          <w:bCs/>
          <w:color w:val="000000"/>
          <w:sz w:val="28"/>
          <w:szCs w:val="28"/>
        </w:rPr>
        <w:t>三实课程</w:t>
      </w:r>
      <w:r>
        <w:rPr>
          <w:b/>
          <w:bCs/>
          <w:color w:val="000000"/>
          <w:sz w:val="28"/>
          <w:szCs w:val="28"/>
        </w:rPr>
        <w:t>教学环节一览表</w:t>
      </w:r>
    </w:p>
    <w:p>
      <w:pPr>
        <w:spacing w:line="400" w:lineRule="exact"/>
        <w:ind w:firstLine="482" w:firstLineChars="200"/>
        <w:rPr>
          <w:rFonts w:eastAsia="仿宋"/>
          <w:b/>
          <w:bCs/>
          <w:color w:val="000000"/>
          <w:sz w:val="24"/>
        </w:rPr>
      </w:pPr>
      <w:r>
        <w:rPr>
          <w:rFonts w:eastAsia="仿宋"/>
          <w:b/>
          <w:bCs/>
          <w:color w:val="000000"/>
          <w:sz w:val="24"/>
        </w:rPr>
        <w:t>请详见附表</w:t>
      </w:r>
      <w:r>
        <w:rPr>
          <w:rFonts w:hint="eastAsia" w:eastAsia="仿宋"/>
          <w:b/>
          <w:bCs/>
          <w:color w:val="000000"/>
          <w:sz w:val="24"/>
        </w:rPr>
        <w:t>五</w:t>
      </w:r>
      <w:r>
        <w:rPr>
          <w:rFonts w:eastAsia="仿宋"/>
          <w:b/>
          <w:bCs/>
          <w:color w:val="000000"/>
          <w:sz w:val="24"/>
        </w:rPr>
        <w:t>。</w:t>
      </w:r>
    </w:p>
    <w:p>
      <w:pPr>
        <w:spacing w:before="312" w:beforeLines="100"/>
        <w:ind w:left="420" w:leftChars="200"/>
        <w:rPr>
          <w:b/>
          <w:bCs/>
          <w:color w:val="000000"/>
          <w:sz w:val="28"/>
          <w:szCs w:val="28"/>
        </w:rPr>
      </w:pPr>
      <w:r>
        <w:rPr>
          <w:b/>
          <w:bCs/>
          <w:color w:val="000000"/>
          <w:sz w:val="28"/>
          <w:szCs w:val="28"/>
        </w:rPr>
        <w:t>十</w:t>
      </w:r>
      <w:r>
        <w:rPr>
          <w:rFonts w:hint="eastAsia"/>
          <w:b/>
          <w:bCs/>
          <w:color w:val="000000"/>
          <w:sz w:val="28"/>
          <w:szCs w:val="28"/>
        </w:rPr>
        <w:t>一</w:t>
      </w:r>
      <w:r>
        <w:rPr>
          <w:b/>
          <w:bCs/>
          <w:color w:val="000000"/>
          <w:sz w:val="28"/>
          <w:szCs w:val="28"/>
        </w:rPr>
        <w:t>、辅修课程、辅修专业、辅修专业学位课程计划进程表</w:t>
      </w:r>
    </w:p>
    <w:p>
      <w:pPr>
        <w:spacing w:line="400" w:lineRule="exact"/>
        <w:ind w:firstLine="482" w:firstLineChars="200"/>
        <w:rPr>
          <w:rFonts w:eastAsia="仿宋"/>
          <w:b/>
          <w:bCs/>
          <w:color w:val="000000"/>
          <w:sz w:val="24"/>
        </w:rPr>
      </w:pPr>
      <w:r>
        <w:rPr>
          <w:rFonts w:eastAsia="仿宋"/>
          <w:b/>
          <w:bCs/>
          <w:color w:val="000000"/>
          <w:sz w:val="24"/>
        </w:rPr>
        <w:t>请详见附表</w:t>
      </w:r>
      <w:r>
        <w:rPr>
          <w:rFonts w:hint="eastAsia" w:eastAsia="仿宋"/>
          <w:b/>
          <w:bCs/>
          <w:color w:val="000000"/>
          <w:sz w:val="24"/>
        </w:rPr>
        <w:t>六</w:t>
      </w:r>
      <w:r>
        <w:rPr>
          <w:rFonts w:eastAsia="仿宋"/>
          <w:b/>
          <w:bCs/>
          <w:color w:val="000000"/>
          <w:sz w:val="24"/>
        </w:rPr>
        <w:t>。</w:t>
      </w:r>
    </w:p>
    <w:p>
      <w:pPr>
        <w:spacing w:line="400" w:lineRule="exact"/>
        <w:ind w:firstLine="482" w:firstLineChars="200"/>
        <w:rPr>
          <w:rFonts w:eastAsia="仿宋"/>
          <w:b/>
          <w:bCs/>
          <w:color w:val="000000"/>
          <w:sz w:val="24"/>
        </w:rPr>
      </w:pPr>
      <w:r>
        <w:rPr>
          <w:rFonts w:eastAsia="仿宋"/>
          <w:b/>
          <w:bCs/>
          <w:color w:val="000000"/>
          <w:sz w:val="24"/>
        </w:rPr>
        <w:t>（一）辅修课程</w:t>
      </w:r>
    </w:p>
    <w:p>
      <w:pPr>
        <w:widowControl/>
        <w:adjustRightInd w:val="0"/>
        <w:snapToGrid w:val="0"/>
        <w:spacing w:line="400" w:lineRule="exact"/>
        <w:ind w:firstLine="420" w:firstLineChars="200"/>
        <w:rPr>
          <w:szCs w:val="21"/>
        </w:rPr>
      </w:pPr>
      <w:r>
        <w:rPr>
          <w:szCs w:val="21"/>
        </w:rPr>
        <w:t>辅修课程是指</w:t>
      </w:r>
      <w:r>
        <w:rPr>
          <w:rFonts w:hint="eastAsia"/>
          <w:szCs w:val="21"/>
        </w:rPr>
        <w:t>非本专业学生</w:t>
      </w:r>
      <w:r>
        <w:rPr>
          <w:szCs w:val="21"/>
        </w:rPr>
        <w:t>修满</w:t>
      </w:r>
      <w:r>
        <w:rPr>
          <w:rFonts w:hint="eastAsia"/>
          <w:szCs w:val="21"/>
        </w:rPr>
        <w:t>本</w:t>
      </w:r>
      <w:r>
        <w:rPr>
          <w:szCs w:val="21"/>
        </w:rPr>
        <w:t>专业辅修</w:t>
      </w:r>
      <w:r>
        <w:rPr>
          <w:rFonts w:hint="eastAsia"/>
          <w:szCs w:val="21"/>
        </w:rPr>
        <w:t>课程</w:t>
      </w:r>
      <w:r>
        <w:rPr>
          <w:szCs w:val="21"/>
        </w:rPr>
        <w:t>教学计划规定的（</w:t>
      </w:r>
      <w:r>
        <w:rPr>
          <w:rFonts w:hint="eastAsia"/>
          <w:szCs w:val="21"/>
        </w:rPr>
        <w:t>3</w:t>
      </w:r>
      <w:r>
        <w:rPr>
          <w:szCs w:val="21"/>
        </w:rPr>
        <w:t>0）学分，其中必修课（</w:t>
      </w:r>
      <w:r>
        <w:rPr>
          <w:rFonts w:hint="eastAsia"/>
          <w:szCs w:val="21"/>
        </w:rPr>
        <w:t>3</w:t>
      </w:r>
      <w:r>
        <w:rPr>
          <w:szCs w:val="21"/>
        </w:rPr>
        <w:t>0）学分，</w:t>
      </w:r>
      <w:r>
        <w:rPr>
          <w:rFonts w:hint="eastAsia"/>
          <w:szCs w:val="21"/>
        </w:rPr>
        <w:t>选修课（0）学分，</w:t>
      </w:r>
      <w:r>
        <w:rPr>
          <w:szCs w:val="21"/>
        </w:rPr>
        <w:t>可以取得</w:t>
      </w:r>
      <w:r>
        <w:rPr>
          <w:rFonts w:hint="eastAsia"/>
          <w:szCs w:val="21"/>
        </w:rPr>
        <w:t>电子信息科学与技术专业</w:t>
      </w:r>
      <w:r>
        <w:rPr>
          <w:szCs w:val="21"/>
        </w:rPr>
        <w:t>《辅修证明书》</w:t>
      </w:r>
      <w:r>
        <w:rPr>
          <w:rFonts w:hint="eastAsia"/>
          <w:szCs w:val="21"/>
        </w:rPr>
        <w:t>。</w:t>
      </w:r>
    </w:p>
    <w:p>
      <w:pPr>
        <w:widowControl/>
        <w:adjustRightInd w:val="0"/>
        <w:snapToGrid w:val="0"/>
        <w:spacing w:line="400" w:lineRule="exact"/>
        <w:ind w:firstLine="420" w:firstLineChars="200"/>
        <w:rPr>
          <w:szCs w:val="21"/>
        </w:rPr>
      </w:pPr>
      <w:r>
        <w:rPr>
          <w:rFonts w:hint="eastAsia"/>
          <w:szCs w:val="21"/>
        </w:rPr>
        <w:t>电子信息科学与技术专业</w:t>
      </w:r>
      <w:r>
        <w:rPr>
          <w:szCs w:val="21"/>
        </w:rPr>
        <w:t>辅修课程人才培养方案详见</w:t>
      </w:r>
      <w:r>
        <w:rPr>
          <w:rFonts w:hint="eastAsia"/>
          <w:szCs w:val="21"/>
        </w:rPr>
        <w:t>分表一</w:t>
      </w:r>
      <w:r>
        <w:rPr>
          <w:szCs w:val="21"/>
        </w:rPr>
        <w:t>。</w:t>
      </w:r>
    </w:p>
    <w:p>
      <w:pPr>
        <w:spacing w:line="400" w:lineRule="exact"/>
        <w:ind w:firstLine="482" w:firstLineChars="200"/>
        <w:rPr>
          <w:b/>
          <w:bCs/>
          <w:sz w:val="24"/>
          <w:szCs w:val="21"/>
        </w:rPr>
      </w:pPr>
      <w:r>
        <w:rPr>
          <w:rFonts w:eastAsia="仿宋"/>
          <w:b/>
          <w:bCs/>
          <w:color w:val="000000"/>
          <w:sz w:val="24"/>
        </w:rPr>
        <w:t>（二）辅修专业</w:t>
      </w:r>
    </w:p>
    <w:p>
      <w:pPr>
        <w:widowControl/>
        <w:adjustRightInd w:val="0"/>
        <w:snapToGrid w:val="0"/>
        <w:spacing w:line="400" w:lineRule="exact"/>
        <w:ind w:firstLine="420" w:firstLineChars="200"/>
        <w:rPr>
          <w:szCs w:val="21"/>
        </w:rPr>
      </w:pPr>
      <w:r>
        <w:rPr>
          <w:szCs w:val="21"/>
        </w:rPr>
        <w:t>辅修专业是指</w:t>
      </w:r>
      <w:r>
        <w:rPr>
          <w:rFonts w:hint="eastAsia"/>
          <w:szCs w:val="21"/>
        </w:rPr>
        <w:t>非本专业学生</w:t>
      </w:r>
      <w:r>
        <w:rPr>
          <w:szCs w:val="21"/>
        </w:rPr>
        <w:t>修满</w:t>
      </w:r>
      <w:r>
        <w:rPr>
          <w:rFonts w:hint="eastAsia"/>
          <w:szCs w:val="21"/>
        </w:rPr>
        <w:t>本</w:t>
      </w:r>
      <w:r>
        <w:rPr>
          <w:szCs w:val="21"/>
        </w:rPr>
        <w:t>专业辅修</w:t>
      </w:r>
      <w:r>
        <w:rPr>
          <w:rFonts w:hint="eastAsia"/>
          <w:szCs w:val="21"/>
        </w:rPr>
        <w:t>专业</w:t>
      </w:r>
      <w:r>
        <w:rPr>
          <w:szCs w:val="21"/>
        </w:rPr>
        <w:t>教学计划规定的（</w:t>
      </w:r>
      <w:r>
        <w:rPr>
          <w:rFonts w:hint="eastAsia"/>
          <w:szCs w:val="21"/>
        </w:rPr>
        <w:t>5</w:t>
      </w:r>
      <w:r>
        <w:rPr>
          <w:szCs w:val="21"/>
        </w:rPr>
        <w:t>0）学分，其中必修课（</w:t>
      </w:r>
      <w:r>
        <w:rPr>
          <w:rFonts w:hint="eastAsia"/>
          <w:szCs w:val="21"/>
        </w:rPr>
        <w:t>4</w:t>
      </w:r>
      <w:r>
        <w:rPr>
          <w:szCs w:val="21"/>
        </w:rPr>
        <w:t>4）学分，</w:t>
      </w:r>
      <w:r>
        <w:rPr>
          <w:rFonts w:hint="eastAsia"/>
          <w:szCs w:val="21"/>
        </w:rPr>
        <w:t>选修课（6）学分，</w:t>
      </w:r>
      <w:r>
        <w:rPr>
          <w:szCs w:val="21"/>
        </w:rPr>
        <w:t>可以取得</w:t>
      </w:r>
      <w:r>
        <w:rPr>
          <w:rFonts w:hint="eastAsia"/>
          <w:szCs w:val="21"/>
        </w:rPr>
        <w:t>电子信息科学与技术专业</w:t>
      </w:r>
      <w:r>
        <w:rPr>
          <w:szCs w:val="21"/>
        </w:rPr>
        <w:t>的辅修毕业资格。</w:t>
      </w:r>
    </w:p>
    <w:p>
      <w:pPr>
        <w:widowControl/>
        <w:adjustRightInd w:val="0"/>
        <w:snapToGrid w:val="0"/>
        <w:spacing w:line="400" w:lineRule="exact"/>
        <w:ind w:firstLine="420" w:firstLineChars="200"/>
        <w:rPr>
          <w:szCs w:val="21"/>
        </w:rPr>
      </w:pPr>
      <w:r>
        <w:rPr>
          <w:rFonts w:hint="eastAsia"/>
          <w:szCs w:val="21"/>
        </w:rPr>
        <w:t>电子信息科学与技术专业</w:t>
      </w:r>
      <w:r>
        <w:rPr>
          <w:szCs w:val="21"/>
        </w:rPr>
        <w:t>辅修专业人才培养方案详见</w:t>
      </w:r>
      <w:r>
        <w:rPr>
          <w:rFonts w:hint="eastAsia"/>
          <w:szCs w:val="21"/>
        </w:rPr>
        <w:t>分表二</w:t>
      </w:r>
      <w:r>
        <w:rPr>
          <w:szCs w:val="21"/>
        </w:rPr>
        <w:t>。</w:t>
      </w:r>
    </w:p>
    <w:p>
      <w:pPr>
        <w:spacing w:line="400" w:lineRule="exact"/>
        <w:ind w:firstLine="236" w:firstLineChars="98"/>
        <w:rPr>
          <w:b/>
          <w:bCs/>
          <w:sz w:val="32"/>
          <w:szCs w:val="32"/>
        </w:rPr>
      </w:pPr>
      <w:r>
        <w:rPr>
          <w:rFonts w:eastAsia="仿宋"/>
          <w:b/>
          <w:bCs/>
          <w:color w:val="000000"/>
          <w:sz w:val="24"/>
        </w:rPr>
        <w:t>（三）辅修专业学位</w:t>
      </w:r>
    </w:p>
    <w:p>
      <w:pPr>
        <w:spacing w:line="400" w:lineRule="exact"/>
        <w:ind w:firstLine="420" w:firstLineChars="200"/>
        <w:rPr>
          <w:szCs w:val="21"/>
        </w:rPr>
      </w:pPr>
      <w:r>
        <w:rPr>
          <w:szCs w:val="21"/>
        </w:rPr>
        <w:t>辅修专业学位</w:t>
      </w:r>
      <w:r>
        <w:rPr>
          <w:rFonts w:hint="eastAsia"/>
          <w:szCs w:val="21"/>
        </w:rPr>
        <w:t>规定，</w:t>
      </w:r>
      <w:r>
        <w:rPr>
          <w:rFonts w:hint="eastAsia" w:ascii="楷体" w:hAnsi="楷体" w:eastAsia="楷体" w:cs="楷体"/>
          <w:szCs w:val="21"/>
        </w:rPr>
        <w:t>学生原主修专业与计划进行辅修专业学位的专业不能属于同一学科门类</w:t>
      </w:r>
      <w:r>
        <w:rPr>
          <w:rFonts w:hint="eastAsia"/>
          <w:szCs w:val="21"/>
        </w:rPr>
        <w:t>。在此前提下，非本学科门类专业学生</w:t>
      </w:r>
      <w:r>
        <w:rPr>
          <w:szCs w:val="21"/>
        </w:rPr>
        <w:t>修满</w:t>
      </w:r>
      <w:r>
        <w:rPr>
          <w:rFonts w:hint="eastAsia"/>
          <w:szCs w:val="21"/>
        </w:rPr>
        <w:t>本</w:t>
      </w:r>
      <w:r>
        <w:rPr>
          <w:szCs w:val="21"/>
        </w:rPr>
        <w:t>专业辅修</w:t>
      </w:r>
      <w:r>
        <w:rPr>
          <w:rFonts w:hint="eastAsia"/>
          <w:szCs w:val="21"/>
        </w:rPr>
        <w:t>专业学位</w:t>
      </w:r>
      <w:r>
        <w:rPr>
          <w:szCs w:val="21"/>
        </w:rPr>
        <w:t>教学计划中规定的（</w:t>
      </w:r>
      <w:r>
        <w:rPr>
          <w:rFonts w:hint="eastAsia"/>
          <w:szCs w:val="21"/>
        </w:rPr>
        <w:t>6</w:t>
      </w:r>
      <w:r>
        <w:rPr>
          <w:szCs w:val="21"/>
        </w:rPr>
        <w:t>0）学分，其中必修课（</w:t>
      </w:r>
      <w:r>
        <w:rPr>
          <w:rFonts w:hint="eastAsia"/>
          <w:szCs w:val="21"/>
        </w:rPr>
        <w:t>5</w:t>
      </w:r>
      <w:r>
        <w:rPr>
          <w:szCs w:val="21"/>
        </w:rPr>
        <w:t>4）学分，</w:t>
      </w:r>
      <w:r>
        <w:rPr>
          <w:rFonts w:hint="eastAsia"/>
          <w:szCs w:val="21"/>
        </w:rPr>
        <w:t>选修课（6）学分，</w:t>
      </w:r>
      <w:r>
        <w:rPr>
          <w:szCs w:val="21"/>
        </w:rPr>
        <w:t>且符合两个专业要求的学位授予条件，在取得主修专业学士学位的同时，可同时取得</w:t>
      </w:r>
      <w:r>
        <w:rPr>
          <w:rFonts w:hint="eastAsia"/>
          <w:szCs w:val="21"/>
        </w:rPr>
        <w:t>电子信息科学与技术</w:t>
      </w:r>
      <w:r>
        <w:rPr>
          <w:szCs w:val="21"/>
        </w:rPr>
        <w:t>学士学位。</w:t>
      </w:r>
    </w:p>
    <w:p>
      <w:pPr>
        <w:widowControl/>
        <w:adjustRightInd w:val="0"/>
        <w:snapToGrid w:val="0"/>
        <w:spacing w:line="400" w:lineRule="exact"/>
        <w:ind w:firstLine="420" w:firstLineChars="200"/>
        <w:rPr>
          <w:szCs w:val="21"/>
        </w:rPr>
      </w:pPr>
      <w:r>
        <w:rPr>
          <w:rFonts w:hint="eastAsia"/>
          <w:szCs w:val="21"/>
        </w:rPr>
        <w:t>电子信息科学与</w:t>
      </w:r>
      <w:r>
        <w:rPr>
          <w:szCs w:val="21"/>
        </w:rPr>
        <w:t>技术专业辅修专业学位人才培养方案详见</w:t>
      </w:r>
      <w:r>
        <w:rPr>
          <w:rFonts w:hint="eastAsia"/>
          <w:szCs w:val="21"/>
        </w:rPr>
        <w:t>分表三</w:t>
      </w:r>
      <w:r>
        <w:rPr>
          <w:szCs w:val="21"/>
        </w:rPr>
        <w:t>。</w:t>
      </w:r>
    </w:p>
    <w:p>
      <w:pPr>
        <w:tabs>
          <w:tab w:val="left" w:pos="1759"/>
        </w:tabs>
      </w:pPr>
    </w:p>
    <w:sectPr>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1358F9"/>
    <w:multiLevelType w:val="multilevel"/>
    <w:tmpl w:val="401358F9"/>
    <w:lvl w:ilvl="0" w:tentative="0">
      <w:start w:val="1"/>
      <w:numFmt w:val="decimal"/>
      <w:suff w:val="space"/>
      <w:lvlText w:val="%1."/>
      <w:lvlJc w:val="left"/>
      <w:pPr>
        <w:ind w:left="0" w:firstLine="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562B4614"/>
    <w:multiLevelType w:val="singleLevel"/>
    <w:tmpl w:val="562B4614"/>
    <w:lvl w:ilvl="0" w:tentative="0">
      <w:start w:val="2"/>
      <w:numFmt w:val="chineseCounting"/>
      <w:suff w:val="nothing"/>
      <w:lvlText w:val="（%1）"/>
      <w:lvlJc w:val="left"/>
    </w:lvl>
  </w:abstractNum>
  <w:abstractNum w:abstractNumId="2">
    <w:nsid w:val="58D6464C"/>
    <w:multiLevelType w:val="multilevel"/>
    <w:tmpl w:val="58D6464C"/>
    <w:lvl w:ilvl="0" w:tentative="0">
      <w:start w:val="1"/>
      <w:numFmt w:val="decimal"/>
      <w:suff w:val="space"/>
      <w:lvlText w:val="%1."/>
      <w:lvlJc w:val="left"/>
      <w:pPr>
        <w:ind w:left="0" w:firstLine="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MzhhYjYxNGQwMTcyZmMzMTNiMDFmOGU5YjUzNDkifQ=="/>
  </w:docVars>
  <w:rsids>
    <w:rsidRoot w:val="00273275"/>
    <w:rsid w:val="00005C2B"/>
    <w:rsid w:val="00010C46"/>
    <w:rsid w:val="00013A92"/>
    <w:rsid w:val="000168E6"/>
    <w:rsid w:val="00017D31"/>
    <w:rsid w:val="000217EA"/>
    <w:rsid w:val="0002445D"/>
    <w:rsid w:val="00032FE8"/>
    <w:rsid w:val="0003345D"/>
    <w:rsid w:val="00040D75"/>
    <w:rsid w:val="000452CC"/>
    <w:rsid w:val="000458C9"/>
    <w:rsid w:val="0004768D"/>
    <w:rsid w:val="0004777B"/>
    <w:rsid w:val="000559B1"/>
    <w:rsid w:val="0005625F"/>
    <w:rsid w:val="00061EA0"/>
    <w:rsid w:val="000640F4"/>
    <w:rsid w:val="000659A8"/>
    <w:rsid w:val="00070FC3"/>
    <w:rsid w:val="00080FBA"/>
    <w:rsid w:val="00081886"/>
    <w:rsid w:val="00091CA7"/>
    <w:rsid w:val="000B0480"/>
    <w:rsid w:val="000C0C16"/>
    <w:rsid w:val="000C1732"/>
    <w:rsid w:val="000C36FC"/>
    <w:rsid w:val="000C4902"/>
    <w:rsid w:val="000C6248"/>
    <w:rsid w:val="000C6A48"/>
    <w:rsid w:val="000D0C3E"/>
    <w:rsid w:val="000D35F7"/>
    <w:rsid w:val="000D409D"/>
    <w:rsid w:val="000D4562"/>
    <w:rsid w:val="000D476C"/>
    <w:rsid w:val="000E06BE"/>
    <w:rsid w:val="000E30BA"/>
    <w:rsid w:val="000E48A2"/>
    <w:rsid w:val="000E5BD3"/>
    <w:rsid w:val="000F1C25"/>
    <w:rsid w:val="000F2C45"/>
    <w:rsid w:val="000F5029"/>
    <w:rsid w:val="000F780F"/>
    <w:rsid w:val="00111B68"/>
    <w:rsid w:val="001130E9"/>
    <w:rsid w:val="0011398A"/>
    <w:rsid w:val="0011659C"/>
    <w:rsid w:val="00117609"/>
    <w:rsid w:val="00121569"/>
    <w:rsid w:val="0012721D"/>
    <w:rsid w:val="0013345E"/>
    <w:rsid w:val="00134B38"/>
    <w:rsid w:val="00136A1B"/>
    <w:rsid w:val="001415E3"/>
    <w:rsid w:val="001523FA"/>
    <w:rsid w:val="00153E9B"/>
    <w:rsid w:val="00154B0C"/>
    <w:rsid w:val="001571A4"/>
    <w:rsid w:val="00157D78"/>
    <w:rsid w:val="00161CCC"/>
    <w:rsid w:val="00166CA5"/>
    <w:rsid w:val="00185847"/>
    <w:rsid w:val="00191C76"/>
    <w:rsid w:val="00194F66"/>
    <w:rsid w:val="001A3D56"/>
    <w:rsid w:val="001A60B5"/>
    <w:rsid w:val="001B0279"/>
    <w:rsid w:val="001B3F4F"/>
    <w:rsid w:val="001B4EE1"/>
    <w:rsid w:val="001B73B6"/>
    <w:rsid w:val="001C291C"/>
    <w:rsid w:val="001C6CFF"/>
    <w:rsid w:val="001D43E0"/>
    <w:rsid w:val="001D69FF"/>
    <w:rsid w:val="001F050B"/>
    <w:rsid w:val="001F09F6"/>
    <w:rsid w:val="001F136D"/>
    <w:rsid w:val="001F3C7D"/>
    <w:rsid w:val="001F40ED"/>
    <w:rsid w:val="001F6624"/>
    <w:rsid w:val="0022658B"/>
    <w:rsid w:val="0022737B"/>
    <w:rsid w:val="00227A42"/>
    <w:rsid w:val="00233930"/>
    <w:rsid w:val="00233C98"/>
    <w:rsid w:val="00234B6D"/>
    <w:rsid w:val="0023686B"/>
    <w:rsid w:val="0024029A"/>
    <w:rsid w:val="00241216"/>
    <w:rsid w:val="00245C3D"/>
    <w:rsid w:val="00246A73"/>
    <w:rsid w:val="002505AF"/>
    <w:rsid w:val="00251FFE"/>
    <w:rsid w:val="00260164"/>
    <w:rsid w:val="002602C6"/>
    <w:rsid w:val="00261D6B"/>
    <w:rsid w:val="00265A18"/>
    <w:rsid w:val="00266887"/>
    <w:rsid w:val="00271032"/>
    <w:rsid w:val="00273275"/>
    <w:rsid w:val="00273361"/>
    <w:rsid w:val="0027592D"/>
    <w:rsid w:val="00284DFA"/>
    <w:rsid w:val="00285A56"/>
    <w:rsid w:val="002873B0"/>
    <w:rsid w:val="0029285D"/>
    <w:rsid w:val="00294694"/>
    <w:rsid w:val="00295B01"/>
    <w:rsid w:val="00295E7C"/>
    <w:rsid w:val="002A0E77"/>
    <w:rsid w:val="002A314A"/>
    <w:rsid w:val="002A3F64"/>
    <w:rsid w:val="002B07C2"/>
    <w:rsid w:val="002B3AFB"/>
    <w:rsid w:val="002B6CC9"/>
    <w:rsid w:val="002B7AF9"/>
    <w:rsid w:val="002C07AE"/>
    <w:rsid w:val="002C0D0E"/>
    <w:rsid w:val="002C7963"/>
    <w:rsid w:val="002D183A"/>
    <w:rsid w:val="002E62E9"/>
    <w:rsid w:val="002E712E"/>
    <w:rsid w:val="002F00B1"/>
    <w:rsid w:val="002F0F97"/>
    <w:rsid w:val="002F40EF"/>
    <w:rsid w:val="002F5991"/>
    <w:rsid w:val="00305ABA"/>
    <w:rsid w:val="00313CE5"/>
    <w:rsid w:val="00314357"/>
    <w:rsid w:val="00315891"/>
    <w:rsid w:val="00325A59"/>
    <w:rsid w:val="00330DC8"/>
    <w:rsid w:val="003368FA"/>
    <w:rsid w:val="00337DC1"/>
    <w:rsid w:val="003430CB"/>
    <w:rsid w:val="0034590B"/>
    <w:rsid w:val="00345AA6"/>
    <w:rsid w:val="00350E81"/>
    <w:rsid w:val="00352686"/>
    <w:rsid w:val="00356352"/>
    <w:rsid w:val="00360318"/>
    <w:rsid w:val="00360BF2"/>
    <w:rsid w:val="003641C3"/>
    <w:rsid w:val="00364827"/>
    <w:rsid w:val="003651B4"/>
    <w:rsid w:val="003669CF"/>
    <w:rsid w:val="0037072E"/>
    <w:rsid w:val="00373225"/>
    <w:rsid w:val="003732C7"/>
    <w:rsid w:val="003800F1"/>
    <w:rsid w:val="003818C3"/>
    <w:rsid w:val="003835E9"/>
    <w:rsid w:val="00384588"/>
    <w:rsid w:val="00385749"/>
    <w:rsid w:val="003861D5"/>
    <w:rsid w:val="003934B7"/>
    <w:rsid w:val="00393DD3"/>
    <w:rsid w:val="003A1A43"/>
    <w:rsid w:val="003A64DA"/>
    <w:rsid w:val="003B227E"/>
    <w:rsid w:val="003B2475"/>
    <w:rsid w:val="003B58EB"/>
    <w:rsid w:val="003B754D"/>
    <w:rsid w:val="003C2F24"/>
    <w:rsid w:val="003C3C24"/>
    <w:rsid w:val="003C4095"/>
    <w:rsid w:val="003C4B2B"/>
    <w:rsid w:val="003D23E7"/>
    <w:rsid w:val="003D2E57"/>
    <w:rsid w:val="003D3FB2"/>
    <w:rsid w:val="003D448D"/>
    <w:rsid w:val="003D5492"/>
    <w:rsid w:val="003D6F85"/>
    <w:rsid w:val="003D738C"/>
    <w:rsid w:val="003E1295"/>
    <w:rsid w:val="003F098D"/>
    <w:rsid w:val="003F2DE1"/>
    <w:rsid w:val="003F5E31"/>
    <w:rsid w:val="003F673A"/>
    <w:rsid w:val="003F69C3"/>
    <w:rsid w:val="004002D6"/>
    <w:rsid w:val="004127E6"/>
    <w:rsid w:val="00414BC9"/>
    <w:rsid w:val="00424D24"/>
    <w:rsid w:val="004323FD"/>
    <w:rsid w:val="00433F86"/>
    <w:rsid w:val="00434A97"/>
    <w:rsid w:val="0045215C"/>
    <w:rsid w:val="00456257"/>
    <w:rsid w:val="004575AC"/>
    <w:rsid w:val="004637F9"/>
    <w:rsid w:val="004673B5"/>
    <w:rsid w:val="004715A5"/>
    <w:rsid w:val="00471C2C"/>
    <w:rsid w:val="0047450F"/>
    <w:rsid w:val="004752F5"/>
    <w:rsid w:val="0047687F"/>
    <w:rsid w:val="004829FA"/>
    <w:rsid w:val="00487139"/>
    <w:rsid w:val="0049216A"/>
    <w:rsid w:val="0049300C"/>
    <w:rsid w:val="004A06CB"/>
    <w:rsid w:val="004A140E"/>
    <w:rsid w:val="004A4D7B"/>
    <w:rsid w:val="004B0046"/>
    <w:rsid w:val="004B11C6"/>
    <w:rsid w:val="004B3B4E"/>
    <w:rsid w:val="004B4B6F"/>
    <w:rsid w:val="004B545F"/>
    <w:rsid w:val="004B73D8"/>
    <w:rsid w:val="004C12C0"/>
    <w:rsid w:val="004C533B"/>
    <w:rsid w:val="004E3616"/>
    <w:rsid w:val="004F207B"/>
    <w:rsid w:val="00504B8D"/>
    <w:rsid w:val="005063D2"/>
    <w:rsid w:val="00515AE5"/>
    <w:rsid w:val="00526862"/>
    <w:rsid w:val="00526F2B"/>
    <w:rsid w:val="00531430"/>
    <w:rsid w:val="00534A15"/>
    <w:rsid w:val="005378F6"/>
    <w:rsid w:val="00545160"/>
    <w:rsid w:val="00545834"/>
    <w:rsid w:val="005504AB"/>
    <w:rsid w:val="00551022"/>
    <w:rsid w:val="005558E8"/>
    <w:rsid w:val="005617D6"/>
    <w:rsid w:val="00572A35"/>
    <w:rsid w:val="00584F1D"/>
    <w:rsid w:val="00590828"/>
    <w:rsid w:val="005932DD"/>
    <w:rsid w:val="00593A5A"/>
    <w:rsid w:val="005A1F99"/>
    <w:rsid w:val="005A4CE9"/>
    <w:rsid w:val="005A5BE3"/>
    <w:rsid w:val="005B15B1"/>
    <w:rsid w:val="005B3CBB"/>
    <w:rsid w:val="005B4365"/>
    <w:rsid w:val="005B45E1"/>
    <w:rsid w:val="005B66F6"/>
    <w:rsid w:val="005C6203"/>
    <w:rsid w:val="005C65A4"/>
    <w:rsid w:val="005C7BEA"/>
    <w:rsid w:val="005D0405"/>
    <w:rsid w:val="005D1369"/>
    <w:rsid w:val="005D23A9"/>
    <w:rsid w:val="005D28D8"/>
    <w:rsid w:val="005D2CDB"/>
    <w:rsid w:val="005D3090"/>
    <w:rsid w:val="005D4C96"/>
    <w:rsid w:val="005E62A6"/>
    <w:rsid w:val="005E7940"/>
    <w:rsid w:val="005F55F4"/>
    <w:rsid w:val="005F61A3"/>
    <w:rsid w:val="00601DC8"/>
    <w:rsid w:val="006077AE"/>
    <w:rsid w:val="006100E7"/>
    <w:rsid w:val="00615925"/>
    <w:rsid w:val="006223AE"/>
    <w:rsid w:val="006239DD"/>
    <w:rsid w:val="00635F13"/>
    <w:rsid w:val="00643BE5"/>
    <w:rsid w:val="00651835"/>
    <w:rsid w:val="00652261"/>
    <w:rsid w:val="00663E5E"/>
    <w:rsid w:val="00682967"/>
    <w:rsid w:val="00683863"/>
    <w:rsid w:val="00693D26"/>
    <w:rsid w:val="00696158"/>
    <w:rsid w:val="006A10E7"/>
    <w:rsid w:val="006A2502"/>
    <w:rsid w:val="006A4B4B"/>
    <w:rsid w:val="006A5F4F"/>
    <w:rsid w:val="006A7400"/>
    <w:rsid w:val="006B797A"/>
    <w:rsid w:val="006D0143"/>
    <w:rsid w:val="006D2EEB"/>
    <w:rsid w:val="006D4BD6"/>
    <w:rsid w:val="006D6965"/>
    <w:rsid w:val="006E01F0"/>
    <w:rsid w:val="006E5D4A"/>
    <w:rsid w:val="006F026D"/>
    <w:rsid w:val="006F2486"/>
    <w:rsid w:val="006F7D06"/>
    <w:rsid w:val="00700DFF"/>
    <w:rsid w:val="007049B3"/>
    <w:rsid w:val="00706D39"/>
    <w:rsid w:val="00707C64"/>
    <w:rsid w:val="00710D5A"/>
    <w:rsid w:val="00713424"/>
    <w:rsid w:val="0072273A"/>
    <w:rsid w:val="0072370D"/>
    <w:rsid w:val="00723CE0"/>
    <w:rsid w:val="00723D98"/>
    <w:rsid w:val="0072586D"/>
    <w:rsid w:val="00730245"/>
    <w:rsid w:val="00736B82"/>
    <w:rsid w:val="00742583"/>
    <w:rsid w:val="00747CD3"/>
    <w:rsid w:val="00751213"/>
    <w:rsid w:val="007578A7"/>
    <w:rsid w:val="007578BD"/>
    <w:rsid w:val="00762EA2"/>
    <w:rsid w:val="00766B21"/>
    <w:rsid w:val="00773FD8"/>
    <w:rsid w:val="007775D4"/>
    <w:rsid w:val="00783BF8"/>
    <w:rsid w:val="00784406"/>
    <w:rsid w:val="00790B52"/>
    <w:rsid w:val="00794C5D"/>
    <w:rsid w:val="007B1174"/>
    <w:rsid w:val="007B23B4"/>
    <w:rsid w:val="007B4191"/>
    <w:rsid w:val="007C0337"/>
    <w:rsid w:val="007C0689"/>
    <w:rsid w:val="007D57A0"/>
    <w:rsid w:val="007E0DBD"/>
    <w:rsid w:val="007E3DF4"/>
    <w:rsid w:val="007E5BA8"/>
    <w:rsid w:val="007E6BB4"/>
    <w:rsid w:val="007E752F"/>
    <w:rsid w:val="007F323E"/>
    <w:rsid w:val="007F605B"/>
    <w:rsid w:val="007F7E19"/>
    <w:rsid w:val="00800081"/>
    <w:rsid w:val="008017B8"/>
    <w:rsid w:val="0081178B"/>
    <w:rsid w:val="00817F80"/>
    <w:rsid w:val="00834389"/>
    <w:rsid w:val="00835BE3"/>
    <w:rsid w:val="00855234"/>
    <w:rsid w:val="00856D63"/>
    <w:rsid w:val="008628B0"/>
    <w:rsid w:val="00870468"/>
    <w:rsid w:val="00871182"/>
    <w:rsid w:val="00871F1C"/>
    <w:rsid w:val="008721C9"/>
    <w:rsid w:val="00873C0A"/>
    <w:rsid w:val="00873FE0"/>
    <w:rsid w:val="00875D9F"/>
    <w:rsid w:val="00881BD9"/>
    <w:rsid w:val="0088275E"/>
    <w:rsid w:val="00887092"/>
    <w:rsid w:val="00890E35"/>
    <w:rsid w:val="00892911"/>
    <w:rsid w:val="00893AF4"/>
    <w:rsid w:val="00897FD4"/>
    <w:rsid w:val="008A1931"/>
    <w:rsid w:val="008A2108"/>
    <w:rsid w:val="008A364A"/>
    <w:rsid w:val="008A523D"/>
    <w:rsid w:val="008B35FB"/>
    <w:rsid w:val="008B5ADA"/>
    <w:rsid w:val="008C492F"/>
    <w:rsid w:val="008C5082"/>
    <w:rsid w:val="008C6161"/>
    <w:rsid w:val="008C61D3"/>
    <w:rsid w:val="008C70A3"/>
    <w:rsid w:val="008D1863"/>
    <w:rsid w:val="008D2833"/>
    <w:rsid w:val="008D2C36"/>
    <w:rsid w:val="008D39E5"/>
    <w:rsid w:val="008D4337"/>
    <w:rsid w:val="008E4E13"/>
    <w:rsid w:val="008E7340"/>
    <w:rsid w:val="008F6FA3"/>
    <w:rsid w:val="009026B5"/>
    <w:rsid w:val="00922216"/>
    <w:rsid w:val="009245D0"/>
    <w:rsid w:val="00934F1A"/>
    <w:rsid w:val="009424D2"/>
    <w:rsid w:val="009439E8"/>
    <w:rsid w:val="00947101"/>
    <w:rsid w:val="00947887"/>
    <w:rsid w:val="00950712"/>
    <w:rsid w:val="009526C8"/>
    <w:rsid w:val="00956310"/>
    <w:rsid w:val="00962F8C"/>
    <w:rsid w:val="009670AE"/>
    <w:rsid w:val="00971F77"/>
    <w:rsid w:val="00972FEE"/>
    <w:rsid w:val="00973AA8"/>
    <w:rsid w:val="00976D98"/>
    <w:rsid w:val="00977C4E"/>
    <w:rsid w:val="009860F6"/>
    <w:rsid w:val="00992F50"/>
    <w:rsid w:val="009943BC"/>
    <w:rsid w:val="00996741"/>
    <w:rsid w:val="009A0CD8"/>
    <w:rsid w:val="009A26A5"/>
    <w:rsid w:val="009A442B"/>
    <w:rsid w:val="009A5313"/>
    <w:rsid w:val="009B3E23"/>
    <w:rsid w:val="009B7D87"/>
    <w:rsid w:val="009C406B"/>
    <w:rsid w:val="009C66FB"/>
    <w:rsid w:val="009D3DDA"/>
    <w:rsid w:val="009E18BB"/>
    <w:rsid w:val="009E2BC5"/>
    <w:rsid w:val="009E4F55"/>
    <w:rsid w:val="009E7351"/>
    <w:rsid w:val="009E74A5"/>
    <w:rsid w:val="00A021F5"/>
    <w:rsid w:val="00A02DD7"/>
    <w:rsid w:val="00A04291"/>
    <w:rsid w:val="00A0546F"/>
    <w:rsid w:val="00A065C8"/>
    <w:rsid w:val="00A13521"/>
    <w:rsid w:val="00A144E1"/>
    <w:rsid w:val="00A209EA"/>
    <w:rsid w:val="00A24E7C"/>
    <w:rsid w:val="00A26AC5"/>
    <w:rsid w:val="00A32A83"/>
    <w:rsid w:val="00A35594"/>
    <w:rsid w:val="00A35711"/>
    <w:rsid w:val="00A40185"/>
    <w:rsid w:val="00A405B7"/>
    <w:rsid w:val="00A418C6"/>
    <w:rsid w:val="00A41BD6"/>
    <w:rsid w:val="00A44147"/>
    <w:rsid w:val="00A45C24"/>
    <w:rsid w:val="00A4758C"/>
    <w:rsid w:val="00A57D3B"/>
    <w:rsid w:val="00A623AB"/>
    <w:rsid w:val="00A6389B"/>
    <w:rsid w:val="00A64D8B"/>
    <w:rsid w:val="00A65BF8"/>
    <w:rsid w:val="00A65D23"/>
    <w:rsid w:val="00A65FC9"/>
    <w:rsid w:val="00A722AA"/>
    <w:rsid w:val="00A806B0"/>
    <w:rsid w:val="00A8265D"/>
    <w:rsid w:val="00A914BA"/>
    <w:rsid w:val="00AA796E"/>
    <w:rsid w:val="00AB183B"/>
    <w:rsid w:val="00AB51F0"/>
    <w:rsid w:val="00AC3AE6"/>
    <w:rsid w:val="00AC63CA"/>
    <w:rsid w:val="00AD0EED"/>
    <w:rsid w:val="00AD3610"/>
    <w:rsid w:val="00AD4033"/>
    <w:rsid w:val="00AE12F4"/>
    <w:rsid w:val="00AE2DD4"/>
    <w:rsid w:val="00AE3BD6"/>
    <w:rsid w:val="00AE5E7E"/>
    <w:rsid w:val="00AE75F8"/>
    <w:rsid w:val="00AF1276"/>
    <w:rsid w:val="00AF5D3B"/>
    <w:rsid w:val="00AF73E5"/>
    <w:rsid w:val="00AF7886"/>
    <w:rsid w:val="00B026D9"/>
    <w:rsid w:val="00B05FFC"/>
    <w:rsid w:val="00B15263"/>
    <w:rsid w:val="00B15ECE"/>
    <w:rsid w:val="00B3432F"/>
    <w:rsid w:val="00B47E59"/>
    <w:rsid w:val="00B50521"/>
    <w:rsid w:val="00B50CAA"/>
    <w:rsid w:val="00B54690"/>
    <w:rsid w:val="00B57A5E"/>
    <w:rsid w:val="00B61B85"/>
    <w:rsid w:val="00B65840"/>
    <w:rsid w:val="00B65BBF"/>
    <w:rsid w:val="00B66AEC"/>
    <w:rsid w:val="00B71D74"/>
    <w:rsid w:val="00B74765"/>
    <w:rsid w:val="00B75188"/>
    <w:rsid w:val="00B85EB9"/>
    <w:rsid w:val="00B86E67"/>
    <w:rsid w:val="00B93E2D"/>
    <w:rsid w:val="00BA00DE"/>
    <w:rsid w:val="00BA1981"/>
    <w:rsid w:val="00BA23D6"/>
    <w:rsid w:val="00BA3EA1"/>
    <w:rsid w:val="00BA5135"/>
    <w:rsid w:val="00BA72F9"/>
    <w:rsid w:val="00BA79D5"/>
    <w:rsid w:val="00BB314A"/>
    <w:rsid w:val="00BB6887"/>
    <w:rsid w:val="00BB7B77"/>
    <w:rsid w:val="00BC1D54"/>
    <w:rsid w:val="00BC6EF2"/>
    <w:rsid w:val="00BC7235"/>
    <w:rsid w:val="00BD19D5"/>
    <w:rsid w:val="00BD6FA1"/>
    <w:rsid w:val="00BD75B9"/>
    <w:rsid w:val="00BE16E6"/>
    <w:rsid w:val="00BE2AE9"/>
    <w:rsid w:val="00BE30BE"/>
    <w:rsid w:val="00C00E13"/>
    <w:rsid w:val="00C0150B"/>
    <w:rsid w:val="00C037A7"/>
    <w:rsid w:val="00C053B8"/>
    <w:rsid w:val="00C06E17"/>
    <w:rsid w:val="00C11C1A"/>
    <w:rsid w:val="00C23271"/>
    <w:rsid w:val="00C40D25"/>
    <w:rsid w:val="00C4144C"/>
    <w:rsid w:val="00C414C8"/>
    <w:rsid w:val="00C42BA6"/>
    <w:rsid w:val="00C47EE8"/>
    <w:rsid w:val="00C5538B"/>
    <w:rsid w:val="00C56C3D"/>
    <w:rsid w:val="00C624CC"/>
    <w:rsid w:val="00C66F73"/>
    <w:rsid w:val="00C80475"/>
    <w:rsid w:val="00C87074"/>
    <w:rsid w:val="00C90347"/>
    <w:rsid w:val="00C91F3C"/>
    <w:rsid w:val="00C93B8D"/>
    <w:rsid w:val="00CA60AD"/>
    <w:rsid w:val="00CB030C"/>
    <w:rsid w:val="00CB116F"/>
    <w:rsid w:val="00CB2960"/>
    <w:rsid w:val="00CB5D1C"/>
    <w:rsid w:val="00CB73B0"/>
    <w:rsid w:val="00CC573A"/>
    <w:rsid w:val="00CC69C6"/>
    <w:rsid w:val="00CD0EF9"/>
    <w:rsid w:val="00CD45E9"/>
    <w:rsid w:val="00CD4ED0"/>
    <w:rsid w:val="00CE1380"/>
    <w:rsid w:val="00CE17C2"/>
    <w:rsid w:val="00CE358A"/>
    <w:rsid w:val="00CE5DB7"/>
    <w:rsid w:val="00CE6551"/>
    <w:rsid w:val="00CF039F"/>
    <w:rsid w:val="00CF0866"/>
    <w:rsid w:val="00CF1564"/>
    <w:rsid w:val="00D00AF3"/>
    <w:rsid w:val="00D011E0"/>
    <w:rsid w:val="00D023C1"/>
    <w:rsid w:val="00D047C9"/>
    <w:rsid w:val="00D102F5"/>
    <w:rsid w:val="00D12380"/>
    <w:rsid w:val="00D1388C"/>
    <w:rsid w:val="00D143B0"/>
    <w:rsid w:val="00D173CE"/>
    <w:rsid w:val="00D21E52"/>
    <w:rsid w:val="00D2392B"/>
    <w:rsid w:val="00D26152"/>
    <w:rsid w:val="00D26454"/>
    <w:rsid w:val="00D2677F"/>
    <w:rsid w:val="00D31287"/>
    <w:rsid w:val="00D31831"/>
    <w:rsid w:val="00D3242F"/>
    <w:rsid w:val="00D32D48"/>
    <w:rsid w:val="00D37537"/>
    <w:rsid w:val="00D45294"/>
    <w:rsid w:val="00D463B8"/>
    <w:rsid w:val="00D52D9E"/>
    <w:rsid w:val="00D53577"/>
    <w:rsid w:val="00D53659"/>
    <w:rsid w:val="00D53D45"/>
    <w:rsid w:val="00D65A20"/>
    <w:rsid w:val="00D708A8"/>
    <w:rsid w:val="00D72D67"/>
    <w:rsid w:val="00D73173"/>
    <w:rsid w:val="00D73FA7"/>
    <w:rsid w:val="00D77E66"/>
    <w:rsid w:val="00D81C3A"/>
    <w:rsid w:val="00D8318D"/>
    <w:rsid w:val="00D85E82"/>
    <w:rsid w:val="00D86924"/>
    <w:rsid w:val="00D92C2A"/>
    <w:rsid w:val="00D92D87"/>
    <w:rsid w:val="00DA3778"/>
    <w:rsid w:val="00DA401B"/>
    <w:rsid w:val="00DB01E6"/>
    <w:rsid w:val="00DB633B"/>
    <w:rsid w:val="00DC1F91"/>
    <w:rsid w:val="00DC243C"/>
    <w:rsid w:val="00DC4692"/>
    <w:rsid w:val="00DC55E1"/>
    <w:rsid w:val="00DC5ED3"/>
    <w:rsid w:val="00DC6CE4"/>
    <w:rsid w:val="00DD36CF"/>
    <w:rsid w:val="00DD7E60"/>
    <w:rsid w:val="00DE2374"/>
    <w:rsid w:val="00DE35DC"/>
    <w:rsid w:val="00DE38AD"/>
    <w:rsid w:val="00DE63BB"/>
    <w:rsid w:val="00DF08AE"/>
    <w:rsid w:val="00DF297E"/>
    <w:rsid w:val="00DF412F"/>
    <w:rsid w:val="00DF5569"/>
    <w:rsid w:val="00E0693B"/>
    <w:rsid w:val="00E11EE1"/>
    <w:rsid w:val="00E12A6A"/>
    <w:rsid w:val="00E133CD"/>
    <w:rsid w:val="00E15FD4"/>
    <w:rsid w:val="00E16CE1"/>
    <w:rsid w:val="00E30C9D"/>
    <w:rsid w:val="00E325FD"/>
    <w:rsid w:val="00E33352"/>
    <w:rsid w:val="00E33372"/>
    <w:rsid w:val="00E45D9E"/>
    <w:rsid w:val="00E51053"/>
    <w:rsid w:val="00E571D0"/>
    <w:rsid w:val="00E65C90"/>
    <w:rsid w:val="00E710D4"/>
    <w:rsid w:val="00E81B39"/>
    <w:rsid w:val="00E8281E"/>
    <w:rsid w:val="00E86D25"/>
    <w:rsid w:val="00E91FD8"/>
    <w:rsid w:val="00E93583"/>
    <w:rsid w:val="00E93C50"/>
    <w:rsid w:val="00EB053A"/>
    <w:rsid w:val="00EB1338"/>
    <w:rsid w:val="00EB563A"/>
    <w:rsid w:val="00EB5EE4"/>
    <w:rsid w:val="00EC40C3"/>
    <w:rsid w:val="00EC4BD3"/>
    <w:rsid w:val="00EC550E"/>
    <w:rsid w:val="00EC7FAB"/>
    <w:rsid w:val="00ED06A0"/>
    <w:rsid w:val="00ED0891"/>
    <w:rsid w:val="00ED290E"/>
    <w:rsid w:val="00EE1727"/>
    <w:rsid w:val="00EE21FE"/>
    <w:rsid w:val="00EE468A"/>
    <w:rsid w:val="00EE604C"/>
    <w:rsid w:val="00EE7350"/>
    <w:rsid w:val="00EF00A3"/>
    <w:rsid w:val="00EF69A7"/>
    <w:rsid w:val="00F015FB"/>
    <w:rsid w:val="00F0322D"/>
    <w:rsid w:val="00F102DD"/>
    <w:rsid w:val="00F11004"/>
    <w:rsid w:val="00F140E1"/>
    <w:rsid w:val="00F14416"/>
    <w:rsid w:val="00F14E31"/>
    <w:rsid w:val="00F1628B"/>
    <w:rsid w:val="00F173E3"/>
    <w:rsid w:val="00F17F3D"/>
    <w:rsid w:val="00F20226"/>
    <w:rsid w:val="00F23ECD"/>
    <w:rsid w:val="00F324D9"/>
    <w:rsid w:val="00F41F50"/>
    <w:rsid w:val="00F47D60"/>
    <w:rsid w:val="00F505B1"/>
    <w:rsid w:val="00F54508"/>
    <w:rsid w:val="00F5529E"/>
    <w:rsid w:val="00F63D67"/>
    <w:rsid w:val="00F65975"/>
    <w:rsid w:val="00F70891"/>
    <w:rsid w:val="00F77272"/>
    <w:rsid w:val="00F81297"/>
    <w:rsid w:val="00F8167D"/>
    <w:rsid w:val="00F85C40"/>
    <w:rsid w:val="00F86473"/>
    <w:rsid w:val="00F86C79"/>
    <w:rsid w:val="00F87931"/>
    <w:rsid w:val="00F966F9"/>
    <w:rsid w:val="00FA0352"/>
    <w:rsid w:val="00FA1F8C"/>
    <w:rsid w:val="00FA2E41"/>
    <w:rsid w:val="00FA7770"/>
    <w:rsid w:val="00FB131A"/>
    <w:rsid w:val="00FB49C7"/>
    <w:rsid w:val="00FB6CAF"/>
    <w:rsid w:val="00FC19EC"/>
    <w:rsid w:val="00FC46C3"/>
    <w:rsid w:val="00FC4D6D"/>
    <w:rsid w:val="00FC555A"/>
    <w:rsid w:val="00FD0626"/>
    <w:rsid w:val="00FD0EAC"/>
    <w:rsid w:val="00FD7B8A"/>
    <w:rsid w:val="00FE0717"/>
    <w:rsid w:val="00FE2661"/>
    <w:rsid w:val="00FE30D8"/>
    <w:rsid w:val="00FE4BD5"/>
    <w:rsid w:val="01160E97"/>
    <w:rsid w:val="020C5B08"/>
    <w:rsid w:val="02BF1BB2"/>
    <w:rsid w:val="02EB5A03"/>
    <w:rsid w:val="03C15BD5"/>
    <w:rsid w:val="03C721C6"/>
    <w:rsid w:val="03E21A0C"/>
    <w:rsid w:val="03E34EB3"/>
    <w:rsid w:val="05382B89"/>
    <w:rsid w:val="06AE2AF3"/>
    <w:rsid w:val="07B21BB3"/>
    <w:rsid w:val="07C41B25"/>
    <w:rsid w:val="080D2662"/>
    <w:rsid w:val="083257FD"/>
    <w:rsid w:val="084E794C"/>
    <w:rsid w:val="08816355"/>
    <w:rsid w:val="0955734C"/>
    <w:rsid w:val="095C4EFD"/>
    <w:rsid w:val="09740C1F"/>
    <w:rsid w:val="09CC2479"/>
    <w:rsid w:val="0A784653"/>
    <w:rsid w:val="0C7D73A5"/>
    <w:rsid w:val="0E1F1EB1"/>
    <w:rsid w:val="0EF45637"/>
    <w:rsid w:val="0F0D683B"/>
    <w:rsid w:val="126B7345"/>
    <w:rsid w:val="126E303A"/>
    <w:rsid w:val="130F6453"/>
    <w:rsid w:val="13D312F3"/>
    <w:rsid w:val="13F279D3"/>
    <w:rsid w:val="14302A8C"/>
    <w:rsid w:val="153B65DE"/>
    <w:rsid w:val="166A0EEE"/>
    <w:rsid w:val="166D65D9"/>
    <w:rsid w:val="168A571A"/>
    <w:rsid w:val="168B0807"/>
    <w:rsid w:val="175440E6"/>
    <w:rsid w:val="184452CC"/>
    <w:rsid w:val="18AD236C"/>
    <w:rsid w:val="19A162F0"/>
    <w:rsid w:val="1A216A65"/>
    <w:rsid w:val="1A69091E"/>
    <w:rsid w:val="1B61067A"/>
    <w:rsid w:val="1C840F88"/>
    <w:rsid w:val="1C903441"/>
    <w:rsid w:val="1E04598E"/>
    <w:rsid w:val="1E7B3C30"/>
    <w:rsid w:val="1E830843"/>
    <w:rsid w:val="1EC45B14"/>
    <w:rsid w:val="1FFE2705"/>
    <w:rsid w:val="203409FC"/>
    <w:rsid w:val="21223864"/>
    <w:rsid w:val="22285C0A"/>
    <w:rsid w:val="250908B9"/>
    <w:rsid w:val="25693E3E"/>
    <w:rsid w:val="256F2CDE"/>
    <w:rsid w:val="27DF2454"/>
    <w:rsid w:val="27F20E2F"/>
    <w:rsid w:val="282D4176"/>
    <w:rsid w:val="28F8218D"/>
    <w:rsid w:val="29A72544"/>
    <w:rsid w:val="29D01359"/>
    <w:rsid w:val="2AF060B2"/>
    <w:rsid w:val="2B241C6B"/>
    <w:rsid w:val="2BBD31F0"/>
    <w:rsid w:val="2BD3340F"/>
    <w:rsid w:val="2DD76E0D"/>
    <w:rsid w:val="2EFC495F"/>
    <w:rsid w:val="2F3C1B38"/>
    <w:rsid w:val="2FB83CB3"/>
    <w:rsid w:val="2FEE164B"/>
    <w:rsid w:val="300F3243"/>
    <w:rsid w:val="302325B6"/>
    <w:rsid w:val="304441B4"/>
    <w:rsid w:val="30EF469C"/>
    <w:rsid w:val="314A2113"/>
    <w:rsid w:val="31590F48"/>
    <w:rsid w:val="320D1B6E"/>
    <w:rsid w:val="325F3361"/>
    <w:rsid w:val="32907C03"/>
    <w:rsid w:val="33E65004"/>
    <w:rsid w:val="34744D19"/>
    <w:rsid w:val="3496649D"/>
    <w:rsid w:val="34E74B4B"/>
    <w:rsid w:val="34F01D3D"/>
    <w:rsid w:val="359A340E"/>
    <w:rsid w:val="35E439C0"/>
    <w:rsid w:val="35F83CBA"/>
    <w:rsid w:val="365F18C8"/>
    <w:rsid w:val="37AE597C"/>
    <w:rsid w:val="389B1938"/>
    <w:rsid w:val="38CC68DA"/>
    <w:rsid w:val="38DA41ED"/>
    <w:rsid w:val="38E76986"/>
    <w:rsid w:val="39305D17"/>
    <w:rsid w:val="3AE67AC0"/>
    <w:rsid w:val="3AF30A42"/>
    <w:rsid w:val="3BF1215B"/>
    <w:rsid w:val="3C510382"/>
    <w:rsid w:val="3E2C20CD"/>
    <w:rsid w:val="3E6A0B57"/>
    <w:rsid w:val="3FF52A68"/>
    <w:rsid w:val="406125ED"/>
    <w:rsid w:val="40FE2C98"/>
    <w:rsid w:val="412A6066"/>
    <w:rsid w:val="41E44AA7"/>
    <w:rsid w:val="424264E0"/>
    <w:rsid w:val="44BC57E7"/>
    <w:rsid w:val="44CB78EB"/>
    <w:rsid w:val="461A4108"/>
    <w:rsid w:val="46752C44"/>
    <w:rsid w:val="47ED4E19"/>
    <w:rsid w:val="4895402C"/>
    <w:rsid w:val="49070F35"/>
    <w:rsid w:val="49575334"/>
    <w:rsid w:val="4A2A7E6B"/>
    <w:rsid w:val="4A365EF1"/>
    <w:rsid w:val="4ADB2857"/>
    <w:rsid w:val="4C6273BC"/>
    <w:rsid w:val="4E04626E"/>
    <w:rsid w:val="4E052D7C"/>
    <w:rsid w:val="4E5B45C3"/>
    <w:rsid w:val="4EBC1A69"/>
    <w:rsid w:val="4EFA3EC4"/>
    <w:rsid w:val="4F684014"/>
    <w:rsid w:val="4FDA7E67"/>
    <w:rsid w:val="50922842"/>
    <w:rsid w:val="513C03B8"/>
    <w:rsid w:val="51556C0F"/>
    <w:rsid w:val="51CD6BBA"/>
    <w:rsid w:val="51F74CB5"/>
    <w:rsid w:val="52F24BBA"/>
    <w:rsid w:val="532F6A9D"/>
    <w:rsid w:val="55635BD3"/>
    <w:rsid w:val="55702416"/>
    <w:rsid w:val="559E56DC"/>
    <w:rsid w:val="561F6FFA"/>
    <w:rsid w:val="570A7517"/>
    <w:rsid w:val="57533E35"/>
    <w:rsid w:val="57685B5C"/>
    <w:rsid w:val="57AB2C3A"/>
    <w:rsid w:val="596D6F1E"/>
    <w:rsid w:val="5D585C45"/>
    <w:rsid w:val="5D9546FA"/>
    <w:rsid w:val="5DA7040D"/>
    <w:rsid w:val="60780BC8"/>
    <w:rsid w:val="609822C5"/>
    <w:rsid w:val="60DA61C2"/>
    <w:rsid w:val="61AC58ED"/>
    <w:rsid w:val="62CE3D7C"/>
    <w:rsid w:val="63132A05"/>
    <w:rsid w:val="63642499"/>
    <w:rsid w:val="64864D62"/>
    <w:rsid w:val="648C1CA9"/>
    <w:rsid w:val="65546327"/>
    <w:rsid w:val="663B7941"/>
    <w:rsid w:val="668A6E54"/>
    <w:rsid w:val="66E30C9B"/>
    <w:rsid w:val="675C6BB1"/>
    <w:rsid w:val="675E6520"/>
    <w:rsid w:val="67EB13BF"/>
    <w:rsid w:val="683A2222"/>
    <w:rsid w:val="698C3997"/>
    <w:rsid w:val="6AAE06A8"/>
    <w:rsid w:val="6B5912E8"/>
    <w:rsid w:val="6BC07407"/>
    <w:rsid w:val="6BFD1410"/>
    <w:rsid w:val="6CE30154"/>
    <w:rsid w:val="6CF26828"/>
    <w:rsid w:val="6CF548D2"/>
    <w:rsid w:val="6D4678A5"/>
    <w:rsid w:val="6DBC4496"/>
    <w:rsid w:val="6F775701"/>
    <w:rsid w:val="6F777D98"/>
    <w:rsid w:val="6FF00279"/>
    <w:rsid w:val="70A11C97"/>
    <w:rsid w:val="72684093"/>
    <w:rsid w:val="7278242D"/>
    <w:rsid w:val="731504C3"/>
    <w:rsid w:val="733247EF"/>
    <w:rsid w:val="73636615"/>
    <w:rsid w:val="740F31D0"/>
    <w:rsid w:val="750E2A92"/>
    <w:rsid w:val="751D30F3"/>
    <w:rsid w:val="75866433"/>
    <w:rsid w:val="75885BD2"/>
    <w:rsid w:val="75F32B7D"/>
    <w:rsid w:val="76AD7901"/>
    <w:rsid w:val="77825AD6"/>
    <w:rsid w:val="77B24A56"/>
    <w:rsid w:val="789219D0"/>
    <w:rsid w:val="78BB6EAA"/>
    <w:rsid w:val="78C77A79"/>
    <w:rsid w:val="792F203E"/>
    <w:rsid w:val="7A5035E4"/>
    <w:rsid w:val="7ACB38A1"/>
    <w:rsid w:val="7B2378E9"/>
    <w:rsid w:val="7C1D7EAA"/>
    <w:rsid w:val="7C9663A3"/>
    <w:rsid w:val="7CF60B06"/>
    <w:rsid w:val="7E0173A1"/>
    <w:rsid w:val="7E925CC0"/>
    <w:rsid w:val="7EB777BC"/>
    <w:rsid w:val="7F1A4F3F"/>
    <w:rsid w:val="7FBE1CF5"/>
    <w:rsid w:val="7FE53CAE"/>
    <w:rsid w:val="7FF20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nhideWhenUsed="0" w:uiPriority="0" w:semiHidden="0" w:name="toa heading"/>
    <w:lsdException w:uiPriority="0" w:name="List"/>
    <w:lsdException w:uiPriority="0" w:name="List Bullet"/>
    <w:lsdException w:unhideWhenUsed="0" w:uiPriority="0" w:semiHidden="0" w:name="List Number"/>
    <w:lsdException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Plain Text"/>
    <w:basedOn w:val="1"/>
    <w:link w:val="16"/>
    <w:qFormat/>
    <w:uiPriority w:val="0"/>
    <w:rPr>
      <w:rFonts w:ascii="宋体" w:hAnsi="Courier New" w:cs="Courier New"/>
      <w:bCs/>
      <w:szCs w:val="21"/>
    </w:rPr>
  </w:style>
  <w:style w:type="paragraph" w:styleId="4">
    <w:name w:val="Balloon Text"/>
    <w:basedOn w:val="1"/>
    <w:link w:val="17"/>
    <w:qFormat/>
    <w:uiPriority w:val="0"/>
    <w:rPr>
      <w:sz w:val="18"/>
      <w:szCs w:val="18"/>
    </w:rPr>
  </w:style>
  <w:style w:type="paragraph" w:styleId="5">
    <w:name w:val="footer"/>
    <w:basedOn w:val="1"/>
    <w:link w:val="18"/>
    <w:qFormat/>
    <w:uiPriority w:val="99"/>
    <w:pPr>
      <w:tabs>
        <w:tab w:val="center" w:pos="4153"/>
        <w:tab w:val="right" w:pos="8306"/>
      </w:tabs>
      <w:snapToGrid w:val="0"/>
      <w:jc w:val="left"/>
    </w:pPr>
    <w:rPr>
      <w:sz w:val="18"/>
      <w:szCs w:val="18"/>
    </w:rPr>
  </w:style>
  <w:style w:type="paragraph" w:styleId="6">
    <w:name w:val="header"/>
    <w:basedOn w:val="1"/>
    <w:link w:val="1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footnote text"/>
    <w:basedOn w:val="1"/>
    <w:link w:val="20"/>
    <w:qFormat/>
    <w:uiPriority w:val="0"/>
    <w:pPr>
      <w:snapToGrid w:val="0"/>
      <w:jc w:val="left"/>
    </w:pPr>
    <w:rPr>
      <w:rFonts w:ascii="Calibri" w:hAnsi="Calibri" w:eastAsia="微软雅黑"/>
      <w:sz w:val="18"/>
      <w:szCs w:val="18"/>
    </w:rPr>
  </w:style>
  <w:style w:type="paragraph" w:styleId="8">
    <w:name w:val="annotation subject"/>
    <w:basedOn w:val="2"/>
    <w:next w:val="2"/>
    <w:link w:val="35"/>
    <w:qFormat/>
    <w:uiPriority w:val="0"/>
    <w:rPr>
      <w:b/>
      <w:bCs/>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unhideWhenUsed/>
    <w:qFormat/>
    <w:uiPriority w:val="99"/>
    <w:rPr>
      <w:color w:val="800080"/>
      <w:u w:val="single"/>
    </w:rPr>
  </w:style>
  <w:style w:type="character" w:styleId="13">
    <w:name w:val="Hyperlink"/>
    <w:unhideWhenUsed/>
    <w:qFormat/>
    <w:uiPriority w:val="99"/>
    <w:rPr>
      <w:color w:val="0000FF"/>
      <w:u w:val="single"/>
    </w:rPr>
  </w:style>
  <w:style w:type="character" w:styleId="14">
    <w:name w:val="annotation reference"/>
    <w:basedOn w:val="11"/>
    <w:qFormat/>
    <w:uiPriority w:val="0"/>
    <w:rPr>
      <w:sz w:val="21"/>
      <w:szCs w:val="21"/>
    </w:rPr>
  </w:style>
  <w:style w:type="character" w:customStyle="1" w:styleId="15">
    <w:name w:val="批注文字 字符"/>
    <w:basedOn w:val="11"/>
    <w:link w:val="2"/>
    <w:qFormat/>
    <w:uiPriority w:val="0"/>
    <w:rPr>
      <w:kern w:val="2"/>
      <w:sz w:val="21"/>
      <w:szCs w:val="24"/>
    </w:rPr>
  </w:style>
  <w:style w:type="character" w:customStyle="1" w:styleId="16">
    <w:name w:val="纯文本 字符1"/>
    <w:link w:val="3"/>
    <w:qFormat/>
    <w:uiPriority w:val="0"/>
    <w:rPr>
      <w:rFonts w:ascii="宋体" w:hAnsi="Courier New" w:eastAsia="宋体" w:cs="Courier New"/>
      <w:bCs/>
      <w:kern w:val="2"/>
      <w:sz w:val="21"/>
      <w:szCs w:val="21"/>
      <w:lang w:val="en-US" w:eastAsia="zh-CN" w:bidi="ar-SA"/>
    </w:rPr>
  </w:style>
  <w:style w:type="character" w:customStyle="1" w:styleId="17">
    <w:name w:val="批注框文本 字符1"/>
    <w:link w:val="4"/>
    <w:qFormat/>
    <w:uiPriority w:val="0"/>
    <w:rPr>
      <w:kern w:val="2"/>
      <w:sz w:val="18"/>
      <w:szCs w:val="18"/>
    </w:rPr>
  </w:style>
  <w:style w:type="character" w:customStyle="1" w:styleId="18">
    <w:name w:val="页脚 字符"/>
    <w:link w:val="5"/>
    <w:qFormat/>
    <w:uiPriority w:val="99"/>
    <w:rPr>
      <w:kern w:val="2"/>
      <w:sz w:val="18"/>
      <w:szCs w:val="18"/>
    </w:rPr>
  </w:style>
  <w:style w:type="character" w:customStyle="1" w:styleId="19">
    <w:name w:val="页眉 字符"/>
    <w:basedOn w:val="11"/>
    <w:link w:val="6"/>
    <w:qFormat/>
    <w:uiPriority w:val="0"/>
    <w:rPr>
      <w:kern w:val="2"/>
      <w:sz w:val="18"/>
      <w:szCs w:val="24"/>
    </w:rPr>
  </w:style>
  <w:style w:type="character" w:customStyle="1" w:styleId="20">
    <w:name w:val="脚注文本 字符1"/>
    <w:link w:val="7"/>
    <w:qFormat/>
    <w:uiPriority w:val="0"/>
    <w:rPr>
      <w:rFonts w:hint="default" w:ascii="Calibri" w:hAnsi="Calibri" w:eastAsia="微软雅黑" w:cs="Times New Roman"/>
      <w:kern w:val="2"/>
      <w:sz w:val="18"/>
      <w:szCs w:val="18"/>
    </w:rPr>
  </w:style>
  <w:style w:type="paragraph" w:customStyle="1" w:styleId="21">
    <w:name w:val="Char Char Char Char"/>
    <w:basedOn w:val="1"/>
    <w:qFormat/>
    <w:uiPriority w:val="0"/>
    <w:pPr>
      <w:adjustRightInd w:val="0"/>
      <w:spacing w:line="360" w:lineRule="atLeast"/>
      <w:textAlignment w:val="baseline"/>
    </w:pPr>
  </w:style>
  <w:style w:type="paragraph" w:customStyle="1" w:styleId="22">
    <w:name w:val="_Style 15"/>
    <w:basedOn w:val="1"/>
    <w:qFormat/>
    <w:uiPriority w:val="34"/>
    <w:pPr>
      <w:widowControl/>
      <w:ind w:left="720"/>
      <w:contextualSpacing/>
      <w:jc w:val="left"/>
    </w:pPr>
    <w:rPr>
      <w:rFonts w:eastAsia="Times New Roman"/>
      <w:kern w:val="0"/>
      <w:sz w:val="24"/>
    </w:rPr>
  </w:style>
  <w:style w:type="character" w:customStyle="1" w:styleId="23">
    <w:name w:val="font01"/>
    <w:qFormat/>
    <w:uiPriority w:val="0"/>
    <w:rPr>
      <w:rFonts w:hint="eastAsia" w:ascii="楷体" w:hAnsi="楷体" w:eastAsia="楷体" w:cs="楷体"/>
      <w:color w:val="000000"/>
      <w:sz w:val="21"/>
      <w:szCs w:val="21"/>
      <w:u w:val="none"/>
    </w:rPr>
  </w:style>
  <w:style w:type="character" w:customStyle="1" w:styleId="24">
    <w:name w:val="font11"/>
    <w:qFormat/>
    <w:uiPriority w:val="0"/>
    <w:rPr>
      <w:rFonts w:hint="eastAsia" w:ascii="楷体" w:hAnsi="楷体" w:eastAsia="楷体" w:cs="楷体"/>
      <w:color w:val="000000"/>
      <w:sz w:val="21"/>
      <w:szCs w:val="21"/>
      <w:u w:val="none"/>
    </w:rPr>
  </w:style>
  <w:style w:type="character" w:customStyle="1" w:styleId="25">
    <w:name w:val="font41"/>
    <w:qFormat/>
    <w:uiPriority w:val="0"/>
    <w:rPr>
      <w:rFonts w:hint="default" w:ascii="Times New Roman" w:hAnsi="Times New Roman" w:cs="Times New Roman"/>
      <w:b/>
      <w:color w:val="000000"/>
      <w:sz w:val="22"/>
      <w:szCs w:val="22"/>
      <w:u w:val="none"/>
    </w:rPr>
  </w:style>
  <w:style w:type="character" w:customStyle="1" w:styleId="26">
    <w:name w:val="font21"/>
    <w:qFormat/>
    <w:uiPriority w:val="0"/>
    <w:rPr>
      <w:rFonts w:hint="eastAsia" w:ascii="宋体" w:hAnsi="宋体" w:eastAsia="宋体" w:cs="宋体"/>
      <w:b/>
      <w:color w:val="000000"/>
      <w:sz w:val="22"/>
      <w:szCs w:val="22"/>
      <w:u w:val="none"/>
    </w:rPr>
  </w:style>
  <w:style w:type="character" w:customStyle="1" w:styleId="27">
    <w:name w:val="font31"/>
    <w:qFormat/>
    <w:uiPriority w:val="0"/>
    <w:rPr>
      <w:rFonts w:ascii="楷体" w:hAnsi="楷体" w:eastAsia="楷体" w:cs="楷体"/>
      <w:b/>
      <w:color w:val="000000"/>
      <w:sz w:val="22"/>
      <w:szCs w:val="22"/>
      <w:u w:val="none"/>
    </w:rPr>
  </w:style>
  <w:style w:type="character" w:customStyle="1" w:styleId="28">
    <w:name w:val="纯文本 Char1"/>
    <w:semiHidden/>
    <w:qFormat/>
    <w:uiPriority w:val="99"/>
    <w:rPr>
      <w:rFonts w:ascii="宋体" w:hAnsi="Courier New" w:eastAsia="宋体" w:cs="Courier New"/>
      <w:szCs w:val="21"/>
    </w:rPr>
  </w:style>
  <w:style w:type="character" w:customStyle="1" w:styleId="29">
    <w:name w:val="纯文本 字符"/>
    <w:qFormat/>
    <w:uiPriority w:val="0"/>
    <w:rPr>
      <w:rFonts w:ascii="宋体" w:hAnsi="Courier New" w:eastAsia="宋体" w:cs="Courier New"/>
      <w:bCs/>
      <w:kern w:val="2"/>
      <w:sz w:val="21"/>
      <w:szCs w:val="21"/>
      <w:lang w:val="en-US" w:eastAsia="zh-CN" w:bidi="ar-SA"/>
    </w:rPr>
  </w:style>
  <w:style w:type="character" w:customStyle="1" w:styleId="30">
    <w:name w:val="脚注文本 字符"/>
    <w:qFormat/>
    <w:uiPriority w:val="0"/>
    <w:rPr>
      <w:rFonts w:ascii="Times New Roman" w:hAnsi="Times New Roman" w:eastAsia="宋体" w:cs="Times New Roman"/>
      <w:sz w:val="18"/>
      <w:szCs w:val="18"/>
    </w:rPr>
  </w:style>
  <w:style w:type="character" w:customStyle="1" w:styleId="31">
    <w:name w:val="font151"/>
    <w:qFormat/>
    <w:uiPriority w:val="0"/>
    <w:rPr>
      <w:rFonts w:hint="eastAsia" w:ascii="楷体" w:hAnsi="楷体" w:eastAsia="楷体"/>
      <w:color w:val="000000"/>
      <w:sz w:val="21"/>
      <w:szCs w:val="21"/>
      <w:u w:val="none"/>
    </w:rPr>
  </w:style>
  <w:style w:type="character" w:customStyle="1" w:styleId="32">
    <w:name w:val="批注文字 Char"/>
    <w:qFormat/>
    <w:uiPriority w:val="0"/>
    <w:rPr>
      <w:kern w:val="2"/>
      <w:sz w:val="21"/>
      <w:szCs w:val="24"/>
    </w:rPr>
  </w:style>
  <w:style w:type="character" w:customStyle="1" w:styleId="33">
    <w:name w:val="font141"/>
    <w:qFormat/>
    <w:uiPriority w:val="0"/>
    <w:rPr>
      <w:rFonts w:hint="default" w:ascii="Times New Roman" w:hAnsi="Times New Roman" w:cs="Times New Roman"/>
      <w:color w:val="000000"/>
      <w:sz w:val="21"/>
      <w:szCs w:val="21"/>
      <w:u w:val="none"/>
    </w:rPr>
  </w:style>
  <w:style w:type="character" w:customStyle="1" w:styleId="34">
    <w:name w:val="批注框文本 字符"/>
    <w:qFormat/>
    <w:uiPriority w:val="0"/>
    <w:rPr>
      <w:rFonts w:ascii="Times New Roman" w:hAnsi="Times New Roman" w:eastAsia="宋体" w:cs="Times New Roman"/>
      <w:sz w:val="18"/>
      <w:szCs w:val="18"/>
    </w:rPr>
  </w:style>
  <w:style w:type="character" w:customStyle="1" w:styleId="35">
    <w:name w:val="批注主题 字符"/>
    <w:link w:val="8"/>
    <w:qFormat/>
    <w:uiPriority w:val="0"/>
    <w:rPr>
      <w:b/>
      <w:bCs/>
      <w:kern w:val="2"/>
      <w:sz w:val="21"/>
      <w:szCs w:val="24"/>
    </w:rPr>
  </w:style>
  <w:style w:type="character" w:customStyle="1" w:styleId="36">
    <w:name w:val="批注主题 Char1"/>
    <w:basedOn w:val="15"/>
    <w:semiHidden/>
    <w:qFormat/>
    <w:uiPriority w:val="0"/>
    <w:rPr>
      <w:b/>
      <w:bCs/>
      <w:kern w:val="2"/>
      <w:sz w:val="21"/>
      <w:szCs w:val="24"/>
    </w:rPr>
  </w:style>
  <w:style w:type="paragraph" w:customStyle="1" w:styleId="37">
    <w:name w:val="xl71"/>
    <w:basedOn w:val="1"/>
    <w:qFormat/>
    <w:uiPriority w:val="0"/>
    <w:pPr>
      <w:widowControl/>
      <w:pBdr>
        <w:left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38">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39">
    <w:name w:val="xl67"/>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b/>
      <w:bCs/>
      <w:color w:val="000000"/>
      <w:kern w:val="0"/>
      <w:szCs w:val="21"/>
    </w:rPr>
  </w:style>
  <w:style w:type="paragraph" w:customStyle="1" w:styleId="40">
    <w:name w:val="xl66"/>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kern w:val="0"/>
      <w:szCs w:val="21"/>
    </w:rPr>
  </w:style>
  <w:style w:type="paragraph" w:customStyle="1" w:styleId="41">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42">
    <w:name w:val="xl73"/>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3">
    <w:name w:val="xl69"/>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pPr>
    <w:rPr>
      <w:kern w:val="0"/>
      <w:szCs w:val="21"/>
    </w:rPr>
  </w:style>
  <w:style w:type="paragraph" w:customStyle="1" w:styleId="4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5">
    <w:name w:val="xl65"/>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6">
    <w:name w:val="xl75"/>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kern w:val="0"/>
      <w:szCs w:val="21"/>
    </w:rPr>
  </w:style>
  <w:style w:type="paragraph" w:customStyle="1" w:styleId="47">
    <w:name w:val="font7"/>
    <w:basedOn w:val="1"/>
    <w:qFormat/>
    <w:uiPriority w:val="0"/>
    <w:pPr>
      <w:widowControl/>
      <w:spacing w:before="100" w:beforeAutospacing="1" w:after="100" w:afterAutospacing="1"/>
      <w:jc w:val="left"/>
    </w:pPr>
    <w:rPr>
      <w:rFonts w:ascii="楷体" w:hAnsi="楷体" w:eastAsia="楷体" w:cs="宋体"/>
      <w:color w:val="000000"/>
      <w:kern w:val="0"/>
      <w:szCs w:val="21"/>
    </w:rPr>
  </w:style>
  <w:style w:type="paragraph" w:customStyle="1" w:styleId="48">
    <w:name w:val="font6"/>
    <w:basedOn w:val="1"/>
    <w:qFormat/>
    <w:uiPriority w:val="0"/>
    <w:pPr>
      <w:widowControl/>
      <w:spacing w:before="100" w:beforeAutospacing="1" w:after="100" w:afterAutospacing="1"/>
      <w:jc w:val="left"/>
    </w:pPr>
    <w:rPr>
      <w:color w:val="000000"/>
      <w:kern w:val="0"/>
      <w:szCs w:val="21"/>
    </w:rPr>
  </w:style>
  <w:style w:type="paragraph" w:styleId="49">
    <w:name w:val="List Paragraph"/>
    <w:basedOn w:val="1"/>
    <w:qFormat/>
    <w:uiPriority w:val="34"/>
    <w:pPr>
      <w:widowControl/>
      <w:ind w:left="720"/>
      <w:contextualSpacing/>
      <w:jc w:val="left"/>
    </w:pPr>
    <w:rPr>
      <w:rFonts w:eastAsia="Times New Roman"/>
      <w:kern w:val="0"/>
      <w:sz w:val="24"/>
    </w:rPr>
  </w:style>
  <w:style w:type="paragraph" w:customStyle="1" w:styleId="50">
    <w:name w:val="xl68"/>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pPr>
    <w:rPr>
      <w:rFonts w:ascii="楷体" w:hAnsi="楷体" w:eastAsia="楷体" w:cs="宋体"/>
      <w:kern w:val="0"/>
      <w:szCs w:val="21"/>
    </w:rPr>
  </w:style>
  <w:style w:type="paragraph" w:customStyle="1" w:styleId="51">
    <w:name w:val="xl72"/>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2">
    <w:name w:val="xl74"/>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pPr>
    <w:rPr>
      <w:rFonts w:ascii="楷体" w:hAnsi="楷体" w:eastAsia="楷体" w:cs="宋体"/>
      <w:kern w:val="0"/>
      <w:szCs w:val="21"/>
    </w:rPr>
  </w:style>
  <w:style w:type="paragraph" w:customStyle="1" w:styleId="53">
    <w:name w:val="xl70"/>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pPr>
    <w:rPr>
      <w:rFonts w:ascii="楷体" w:hAnsi="楷体" w:eastAsia="楷体" w:cs="宋体"/>
      <w:color w:val="000000"/>
      <w:kern w:val="0"/>
      <w:szCs w:val="21"/>
    </w:rPr>
  </w:style>
  <w:style w:type="character" w:customStyle="1" w:styleId="54">
    <w:name w:val="font51"/>
    <w:basedOn w:val="11"/>
    <w:qFormat/>
    <w:uiPriority w:val="0"/>
    <w:rPr>
      <w:rFonts w:hint="eastAsia" w:ascii="楷体" w:hAnsi="楷体" w:eastAsia="楷体" w:cs="楷体"/>
      <w:color w:val="000000"/>
      <w:sz w:val="21"/>
      <w:szCs w:val="21"/>
      <w:u w:val="none"/>
    </w:rPr>
  </w:style>
  <w:style w:type="character" w:customStyle="1" w:styleId="55">
    <w:name w:val="font71"/>
    <w:basedOn w:val="11"/>
    <w:qFormat/>
    <w:uiPriority w:val="0"/>
    <w:rPr>
      <w:rFonts w:ascii="仿宋" w:hAnsi="仿宋" w:eastAsia="仿宋" w:cs="仿宋"/>
      <w:color w:val="000000"/>
      <w:sz w:val="21"/>
      <w:szCs w:val="21"/>
      <w:u w:val="none"/>
    </w:rPr>
  </w:style>
  <w:style w:type="character" w:customStyle="1" w:styleId="56">
    <w:name w:val="font61"/>
    <w:basedOn w:val="11"/>
    <w:qFormat/>
    <w:uiPriority w:val="0"/>
    <w:rPr>
      <w:rFonts w:hint="default" w:ascii="Times New Roman" w:hAnsi="Times New Roman" w:cs="Times New Roman"/>
      <w:color w:val="000000"/>
      <w:sz w:val="18"/>
      <w:szCs w:val="18"/>
      <w:u w:val="none"/>
    </w:rPr>
  </w:style>
  <w:style w:type="character" w:customStyle="1" w:styleId="57">
    <w:name w:val="font81"/>
    <w:basedOn w:val="11"/>
    <w:uiPriority w:val="0"/>
    <w:rPr>
      <w:rFonts w:hint="eastAsia" w:ascii="楷体" w:hAnsi="楷体" w:eastAsia="楷体" w:cs="楷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3A3F7-0A11-4070-B5FD-0C8FA3CF6940}">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4</Pages>
  <Words>2779</Words>
  <Characters>2868</Characters>
  <Lines>21</Lines>
  <Paragraphs>5</Paragraphs>
  <TotalTime>12</TotalTime>
  <ScaleCrop>false</ScaleCrop>
  <LinksUpToDate>false</LinksUpToDate>
  <CharactersWithSpaces>2881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2019-04-29T05:13:00Z</dcterms:created>
  <dc:creator>Administrator</dc:creator>
  <cp:lastModifiedBy>温家梅</cp:lastModifiedBy>
  <cp:lastPrinted>2019-03-27T00:37:00Z</cp:lastPrinted>
  <dcterms:modified xsi:type="dcterms:W3CDTF">2024-06-14T00:18:44Z</dcterms:modified>
  <dc:title>附件2</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19FB0A0D580140CBB304B867D2302A84_12</vt:lpwstr>
  </property>
</Properties>
</file>